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B16DF">
      <w:pPr>
        <w:spacing w:line="360" w:lineRule="auto"/>
        <w:jc w:val="center"/>
        <w:outlineLvl w:val="0"/>
        <w:rPr>
          <w:b/>
          <w:sz w:val="36"/>
          <w:szCs w:val="36"/>
        </w:rPr>
      </w:pPr>
      <w:r>
        <w:rPr>
          <w:b/>
          <w:sz w:val="36"/>
          <w:szCs w:val="36"/>
        </w:rPr>
        <w:t>采购需求</w:t>
      </w:r>
    </w:p>
    <w:p w14:paraId="6D40237B">
      <w:pPr>
        <w:spacing w:line="360" w:lineRule="auto"/>
        <w:contextualSpacing/>
        <w:rPr>
          <w:rFonts w:hint="eastAsia" w:ascii="宋体" w:hAnsi="宋体" w:eastAsia="宋体" w:cs="宋体"/>
          <w:bCs/>
          <w:sz w:val="24"/>
          <w:szCs w:val="24"/>
          <w:lang w:val="en-US" w:eastAsia="zh-CN"/>
        </w:rPr>
      </w:pPr>
    </w:p>
    <w:p w14:paraId="7DD07B8C">
      <w:pPr>
        <w:spacing w:line="360" w:lineRule="auto"/>
        <w:contextualSpacing/>
        <w:rPr>
          <w:rFonts w:hint="eastAsia" w:ascii="宋体" w:hAnsi="宋体" w:eastAsia="宋体" w:cs="宋体"/>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采购标的</w:t>
      </w:r>
      <w:r>
        <w:rPr>
          <w:rFonts w:hint="eastAsia" w:ascii="宋体" w:hAnsi="宋体" w:cs="宋体"/>
          <w:bCs/>
          <w:sz w:val="24"/>
          <w:szCs w:val="24"/>
          <w:lang w:val="en-US" w:eastAsia="zh-CN"/>
        </w:rPr>
        <w:t xml:space="preserve"> （本项目不接受进口产品）</w:t>
      </w:r>
    </w:p>
    <w:p w14:paraId="6D0554BA">
      <w:pPr>
        <w:outlineLvl w:val="1"/>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第10包：</w:t>
      </w:r>
      <w:r>
        <w:rPr>
          <w:rFonts w:hint="eastAsia" w:ascii="宋体" w:hAnsi="宋体" w:eastAsia="宋体" w:cs="宋体"/>
          <w:b/>
          <w:bCs/>
          <w:sz w:val="24"/>
          <w:szCs w:val="24"/>
          <w:lang w:eastAsia="zh-CN"/>
        </w:rPr>
        <w:t>2026年度被装购置项目第</w:t>
      </w:r>
      <w:r>
        <w:rPr>
          <w:rFonts w:hint="eastAsia" w:ascii="宋体" w:hAnsi="宋体" w:eastAsia="宋体" w:cs="宋体"/>
          <w:b/>
          <w:bCs/>
          <w:sz w:val="24"/>
          <w:szCs w:val="24"/>
          <w:lang w:val="en-US" w:eastAsia="zh-CN"/>
        </w:rPr>
        <w:t>10包</w:t>
      </w:r>
    </w:p>
    <w:tbl>
      <w:tblPr>
        <w:tblStyle w:val="6"/>
        <w:tblpPr w:leftFromText="180" w:rightFromText="180" w:vertAnchor="text" w:horzAnchor="page" w:tblpX="1536" w:tblpY="354"/>
        <w:tblOverlap w:val="never"/>
        <w:tblW w:w="14090" w:type="dxa"/>
        <w:tblInd w:w="0" w:type="dxa"/>
        <w:tblLayout w:type="fixed"/>
        <w:tblCellMar>
          <w:top w:w="0" w:type="dxa"/>
          <w:left w:w="108" w:type="dxa"/>
          <w:bottom w:w="0" w:type="dxa"/>
          <w:right w:w="108" w:type="dxa"/>
        </w:tblCellMar>
      </w:tblPr>
      <w:tblGrid>
        <w:gridCol w:w="1020"/>
        <w:gridCol w:w="1984"/>
        <w:gridCol w:w="842"/>
        <w:gridCol w:w="1155"/>
        <w:gridCol w:w="855"/>
        <w:gridCol w:w="1581"/>
        <w:gridCol w:w="1"/>
        <w:gridCol w:w="1023"/>
        <w:gridCol w:w="1"/>
        <w:gridCol w:w="3093"/>
        <w:gridCol w:w="2535"/>
      </w:tblGrid>
      <w:tr w14:paraId="63DD1D39">
        <w:tblPrEx>
          <w:tblCellMar>
            <w:top w:w="0" w:type="dxa"/>
            <w:left w:w="108" w:type="dxa"/>
            <w:bottom w:w="0" w:type="dxa"/>
            <w:right w:w="108" w:type="dxa"/>
          </w:tblCellMar>
        </w:tblPrEx>
        <w:trPr>
          <w:trHeight w:val="237" w:hRule="atLeast"/>
        </w:trPr>
        <w:tc>
          <w:tcPr>
            <w:tcW w:w="1020" w:type="dxa"/>
            <w:vMerge w:val="restart"/>
            <w:tcBorders>
              <w:top w:val="single" w:color="auto" w:sz="4" w:space="0"/>
              <w:left w:val="single" w:color="000000" w:sz="4" w:space="0"/>
              <w:right w:val="single" w:color="000000" w:sz="4" w:space="0"/>
            </w:tcBorders>
            <w:vAlign w:val="center"/>
          </w:tcPr>
          <w:p w14:paraId="3ECD5646">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品目号</w:t>
            </w:r>
          </w:p>
        </w:tc>
        <w:tc>
          <w:tcPr>
            <w:tcW w:w="1984" w:type="dxa"/>
            <w:vMerge w:val="restart"/>
            <w:tcBorders>
              <w:top w:val="single" w:color="auto" w:sz="4" w:space="0"/>
              <w:left w:val="single" w:color="000000" w:sz="4" w:space="0"/>
              <w:right w:val="single" w:color="000000" w:sz="4" w:space="0"/>
            </w:tcBorders>
            <w:vAlign w:val="center"/>
          </w:tcPr>
          <w:p w14:paraId="5FE3DE41">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新式警服品种</w:t>
            </w:r>
          </w:p>
        </w:tc>
        <w:tc>
          <w:tcPr>
            <w:tcW w:w="842" w:type="dxa"/>
            <w:vMerge w:val="restart"/>
            <w:tcBorders>
              <w:top w:val="single" w:color="000000" w:sz="4" w:space="0"/>
              <w:left w:val="single" w:color="000000" w:sz="4" w:space="0"/>
              <w:right w:val="single" w:color="000000" w:sz="4" w:space="0"/>
            </w:tcBorders>
            <w:vAlign w:val="center"/>
          </w:tcPr>
          <w:p w14:paraId="5D80041A">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单位</w:t>
            </w:r>
          </w:p>
        </w:tc>
        <w:tc>
          <w:tcPr>
            <w:tcW w:w="1155" w:type="dxa"/>
            <w:vMerge w:val="restart"/>
            <w:tcBorders>
              <w:top w:val="single" w:color="000000" w:sz="4" w:space="0"/>
              <w:left w:val="single" w:color="000000" w:sz="4" w:space="0"/>
              <w:right w:val="single" w:color="000000" w:sz="4" w:space="0"/>
            </w:tcBorders>
            <w:vAlign w:val="center"/>
          </w:tcPr>
          <w:p w14:paraId="6466B3D8">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单价最高限价（元）</w:t>
            </w:r>
          </w:p>
        </w:tc>
        <w:tc>
          <w:tcPr>
            <w:tcW w:w="855" w:type="dxa"/>
            <w:vMerge w:val="restart"/>
            <w:tcBorders>
              <w:top w:val="single" w:color="auto" w:sz="4" w:space="0"/>
              <w:left w:val="single" w:color="000000" w:sz="4" w:space="0"/>
              <w:right w:val="single" w:color="000000" w:sz="4" w:space="0"/>
            </w:tcBorders>
            <w:vAlign w:val="center"/>
          </w:tcPr>
          <w:p w14:paraId="0F701826">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采购数量</w:t>
            </w:r>
          </w:p>
        </w:tc>
        <w:tc>
          <w:tcPr>
            <w:tcW w:w="1582" w:type="dxa"/>
            <w:gridSpan w:val="2"/>
            <w:vMerge w:val="restart"/>
            <w:tcBorders>
              <w:top w:val="single" w:color="auto" w:sz="4" w:space="0"/>
              <w:left w:val="single" w:color="000000" w:sz="4" w:space="0"/>
              <w:right w:val="single" w:color="000000" w:sz="4" w:space="0"/>
            </w:tcBorders>
            <w:vAlign w:val="center"/>
          </w:tcPr>
          <w:p w14:paraId="7A4DA78A">
            <w:pPr>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分包预算金额（元）</w:t>
            </w:r>
          </w:p>
        </w:tc>
        <w:tc>
          <w:tcPr>
            <w:tcW w:w="1024" w:type="dxa"/>
            <w:gridSpan w:val="2"/>
            <w:vMerge w:val="restart"/>
            <w:tcBorders>
              <w:top w:val="single" w:color="000000" w:sz="4" w:space="0"/>
              <w:left w:val="single" w:color="000000" w:sz="4" w:space="0"/>
              <w:right w:val="single" w:color="auto" w:sz="4" w:space="0"/>
            </w:tcBorders>
            <w:vAlign w:val="center"/>
          </w:tcPr>
          <w:p w14:paraId="0249C83B">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b/>
                <w:bCs/>
                <w:color w:val="000000"/>
                <w:sz w:val="24"/>
                <w:szCs w:val="24"/>
                <w:lang w:eastAsia="zh-CN" w:bidi="ar"/>
              </w:rPr>
              <w:t>是否为核心</w:t>
            </w:r>
            <w:r>
              <w:rPr>
                <w:rFonts w:hint="eastAsia" w:ascii="宋体" w:hAnsi="宋体" w:eastAsia="宋体" w:cs="宋体"/>
                <w:b/>
                <w:bCs/>
                <w:color w:val="000000"/>
                <w:sz w:val="24"/>
                <w:szCs w:val="24"/>
                <w:lang w:val="en-US" w:eastAsia="zh-CN" w:bidi="ar"/>
              </w:rPr>
              <w:t>产品</w:t>
            </w:r>
          </w:p>
        </w:tc>
        <w:tc>
          <w:tcPr>
            <w:tcW w:w="5628" w:type="dxa"/>
            <w:gridSpan w:val="2"/>
            <w:tcBorders>
              <w:top w:val="single" w:color="auto" w:sz="4" w:space="0"/>
              <w:left w:val="single" w:color="auto" w:sz="4" w:space="0"/>
              <w:bottom w:val="single" w:color="auto" w:sz="4" w:space="0"/>
              <w:right w:val="single" w:color="auto" w:sz="4" w:space="0"/>
            </w:tcBorders>
            <w:vAlign w:val="center"/>
          </w:tcPr>
          <w:p w14:paraId="0D84FE6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递交样品要求</w:t>
            </w:r>
          </w:p>
        </w:tc>
      </w:tr>
      <w:tr w14:paraId="7761FFDB">
        <w:tblPrEx>
          <w:tblCellMar>
            <w:top w:w="0" w:type="dxa"/>
            <w:left w:w="108" w:type="dxa"/>
            <w:bottom w:w="0" w:type="dxa"/>
            <w:right w:w="108" w:type="dxa"/>
          </w:tblCellMar>
        </w:tblPrEx>
        <w:trPr>
          <w:trHeight w:val="239" w:hRule="atLeast"/>
        </w:trPr>
        <w:tc>
          <w:tcPr>
            <w:tcW w:w="1020" w:type="dxa"/>
            <w:vMerge w:val="continue"/>
            <w:tcBorders>
              <w:left w:val="single" w:color="000000" w:sz="4" w:space="0"/>
              <w:bottom w:val="single" w:color="auto" w:sz="4" w:space="0"/>
              <w:right w:val="single" w:color="000000" w:sz="4" w:space="0"/>
            </w:tcBorders>
            <w:vAlign w:val="center"/>
          </w:tcPr>
          <w:p w14:paraId="53DF880A">
            <w:pPr>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right w:val="single" w:color="000000" w:sz="4" w:space="0"/>
            </w:tcBorders>
            <w:vAlign w:val="center"/>
          </w:tcPr>
          <w:p w14:paraId="2981DB0E">
            <w:pPr>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right w:val="single" w:color="000000" w:sz="4" w:space="0"/>
            </w:tcBorders>
            <w:vAlign w:val="center"/>
          </w:tcPr>
          <w:p w14:paraId="752823B9">
            <w:pPr>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right w:val="single" w:color="000000" w:sz="4" w:space="0"/>
            </w:tcBorders>
            <w:vAlign w:val="center"/>
          </w:tcPr>
          <w:p w14:paraId="7721946E">
            <w:pPr>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right w:val="single" w:color="000000" w:sz="4" w:space="0"/>
            </w:tcBorders>
            <w:vAlign w:val="center"/>
          </w:tcPr>
          <w:p w14:paraId="7B527DDC">
            <w:pPr>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7A3057AD">
            <w:pPr>
              <w:spacing w:line="360" w:lineRule="auto"/>
              <w:jc w:val="center"/>
              <w:textAlignment w:val="center"/>
              <w:rPr>
                <w:rFonts w:hint="eastAsia" w:ascii="宋体" w:hAnsi="宋体" w:eastAsia="宋体" w:cs="宋体"/>
                <w:color w:val="000000"/>
                <w:sz w:val="24"/>
                <w:szCs w:val="24"/>
                <w:lang w:eastAsia="zh-CN" w:bidi="ar"/>
              </w:rPr>
            </w:pPr>
          </w:p>
        </w:tc>
        <w:tc>
          <w:tcPr>
            <w:tcW w:w="1024" w:type="dxa"/>
            <w:gridSpan w:val="2"/>
            <w:vMerge w:val="continue"/>
            <w:tcBorders>
              <w:left w:val="single" w:color="000000" w:sz="4" w:space="0"/>
              <w:right w:val="single" w:color="auto" w:sz="4" w:space="0"/>
            </w:tcBorders>
            <w:vAlign w:val="center"/>
          </w:tcPr>
          <w:p w14:paraId="52902859">
            <w:pPr>
              <w:widowControl/>
              <w:spacing w:line="360" w:lineRule="auto"/>
              <w:jc w:val="center"/>
              <w:textAlignment w:val="center"/>
              <w:rPr>
                <w:rFonts w:hint="eastAsia" w:ascii="宋体" w:hAnsi="宋体" w:eastAsia="宋体" w:cs="宋体"/>
                <w:color w:val="000000"/>
                <w:sz w:val="24"/>
                <w:szCs w:val="24"/>
                <w:lang w:eastAsia="zh-CN" w:bidi="ar"/>
              </w:rPr>
            </w:pPr>
          </w:p>
        </w:tc>
        <w:tc>
          <w:tcPr>
            <w:tcW w:w="3093" w:type="dxa"/>
            <w:tcBorders>
              <w:top w:val="single" w:color="auto" w:sz="4" w:space="0"/>
              <w:left w:val="single" w:color="auto" w:sz="4" w:space="0"/>
              <w:right w:val="single" w:color="auto" w:sz="4" w:space="0"/>
            </w:tcBorders>
            <w:vAlign w:val="center"/>
          </w:tcPr>
          <w:p w14:paraId="20D6AD3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该品种是否要求样品</w:t>
            </w:r>
          </w:p>
        </w:tc>
        <w:tc>
          <w:tcPr>
            <w:tcW w:w="2535" w:type="dxa"/>
            <w:tcBorders>
              <w:top w:val="single" w:color="auto" w:sz="4" w:space="0"/>
              <w:left w:val="single" w:color="auto" w:sz="4" w:space="0"/>
              <w:right w:val="single" w:color="auto" w:sz="4" w:space="0"/>
            </w:tcBorders>
            <w:vAlign w:val="center"/>
          </w:tcPr>
          <w:p w14:paraId="4989574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b/>
                <w:bCs/>
                <w:color w:val="000000"/>
                <w:sz w:val="24"/>
                <w:szCs w:val="24"/>
                <w:lang w:eastAsia="zh-CN" w:bidi="ar"/>
              </w:rPr>
              <w:t>检测内容</w:t>
            </w:r>
          </w:p>
        </w:tc>
      </w:tr>
      <w:tr w14:paraId="537DEC10">
        <w:tblPrEx>
          <w:tblCellMar>
            <w:top w:w="0" w:type="dxa"/>
            <w:left w:w="108" w:type="dxa"/>
            <w:bottom w:w="0" w:type="dxa"/>
            <w:right w:w="108" w:type="dxa"/>
          </w:tblCellMar>
        </w:tblPrEx>
        <w:trPr>
          <w:trHeight w:val="282"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7115D796">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10-1</w:t>
            </w:r>
          </w:p>
        </w:tc>
        <w:tc>
          <w:tcPr>
            <w:tcW w:w="1984" w:type="dxa"/>
            <w:vMerge w:val="restart"/>
            <w:tcBorders>
              <w:top w:val="single" w:color="auto" w:sz="4" w:space="0"/>
              <w:left w:val="single" w:color="000000" w:sz="4" w:space="0"/>
              <w:right w:val="single" w:color="000000" w:sz="4" w:space="0"/>
            </w:tcBorders>
            <w:vAlign w:val="center"/>
          </w:tcPr>
          <w:p w14:paraId="0A9F8119">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长袖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tc>
        <w:tc>
          <w:tcPr>
            <w:tcW w:w="842" w:type="dxa"/>
            <w:vMerge w:val="restart"/>
            <w:tcBorders>
              <w:top w:val="single" w:color="000000" w:sz="4" w:space="0"/>
              <w:left w:val="single" w:color="000000" w:sz="4" w:space="0"/>
              <w:right w:val="single" w:color="000000" w:sz="4" w:space="0"/>
            </w:tcBorders>
            <w:vAlign w:val="center"/>
          </w:tcPr>
          <w:p w14:paraId="4DDE1C9D">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431CB1F6">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75.00</w:t>
            </w:r>
          </w:p>
        </w:tc>
        <w:tc>
          <w:tcPr>
            <w:tcW w:w="855" w:type="dxa"/>
            <w:vMerge w:val="restart"/>
            <w:tcBorders>
              <w:top w:val="single" w:color="auto" w:sz="4" w:space="0"/>
              <w:left w:val="single" w:color="000000" w:sz="4" w:space="0"/>
              <w:right w:val="single" w:color="000000" w:sz="4" w:space="0"/>
            </w:tcBorders>
            <w:vAlign w:val="center"/>
          </w:tcPr>
          <w:p w14:paraId="75EC97E0">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6110</w:t>
            </w:r>
          </w:p>
        </w:tc>
        <w:tc>
          <w:tcPr>
            <w:tcW w:w="1582" w:type="dxa"/>
            <w:gridSpan w:val="2"/>
            <w:vMerge w:val="restart"/>
            <w:tcBorders>
              <w:top w:val="single" w:color="auto" w:sz="4" w:space="0"/>
              <w:left w:val="single" w:color="000000" w:sz="4" w:space="0"/>
              <w:right w:val="single" w:color="000000" w:sz="4" w:space="0"/>
            </w:tcBorders>
            <w:vAlign w:val="center"/>
          </w:tcPr>
          <w:p w14:paraId="01F9FB31">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3227235.00</w:t>
            </w:r>
          </w:p>
        </w:tc>
        <w:tc>
          <w:tcPr>
            <w:tcW w:w="1024" w:type="dxa"/>
            <w:gridSpan w:val="2"/>
            <w:tcBorders>
              <w:top w:val="single" w:color="000000" w:sz="4" w:space="0"/>
              <w:left w:val="single" w:color="000000" w:sz="4" w:space="0"/>
              <w:right w:val="single" w:color="auto" w:sz="4" w:space="0"/>
            </w:tcBorders>
            <w:vAlign w:val="center"/>
          </w:tcPr>
          <w:p w14:paraId="09FF3EDF">
            <w:pPr>
              <w:widowControl/>
              <w:spacing w:line="360" w:lineRule="auto"/>
              <w:jc w:val="center"/>
              <w:textAlignment w:val="center"/>
              <w:rPr>
                <w:rFonts w:hint="eastAsia" w:ascii="宋体" w:hAnsi="宋体" w:eastAsia="宋体" w:cs="宋体"/>
                <w:color w:val="000000"/>
                <w:sz w:val="24"/>
                <w:szCs w:val="24"/>
                <w:lang w:eastAsia="zh-CN" w:bidi="ar"/>
              </w:rPr>
            </w:pPr>
          </w:p>
        </w:tc>
        <w:tc>
          <w:tcPr>
            <w:tcW w:w="3093" w:type="dxa"/>
            <w:vMerge w:val="restart"/>
            <w:tcBorders>
              <w:top w:val="single" w:color="auto" w:sz="4" w:space="0"/>
              <w:left w:val="single" w:color="auto" w:sz="4" w:space="0"/>
              <w:right w:val="single" w:color="auto" w:sz="4" w:space="0"/>
            </w:tcBorders>
            <w:vAlign w:val="center"/>
          </w:tcPr>
          <w:p w14:paraId="260A2DF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男长袖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p w14:paraId="7D15349C">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数量：2件</w:t>
            </w:r>
          </w:p>
          <w:p w14:paraId="012243F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号型：175/100</w:t>
            </w:r>
          </w:p>
        </w:tc>
        <w:tc>
          <w:tcPr>
            <w:tcW w:w="2535" w:type="dxa"/>
            <w:vMerge w:val="restart"/>
            <w:tcBorders>
              <w:top w:val="single" w:color="auto" w:sz="4" w:space="0"/>
              <w:left w:val="single" w:color="auto" w:sz="4" w:space="0"/>
              <w:right w:val="single" w:color="auto" w:sz="4" w:space="0"/>
            </w:tcBorders>
            <w:vAlign w:val="center"/>
          </w:tcPr>
          <w:p w14:paraId="7D5569CF">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检验报告检验项目包括：成品外在质量（型式检验项目）、面料耐皂洗色牢度、罗纹布耐汗渍色牢度</w:t>
            </w:r>
          </w:p>
        </w:tc>
      </w:tr>
      <w:tr w14:paraId="359DCA02">
        <w:tblPrEx>
          <w:tblCellMar>
            <w:top w:w="0" w:type="dxa"/>
            <w:left w:w="108" w:type="dxa"/>
            <w:bottom w:w="0" w:type="dxa"/>
            <w:right w:w="108" w:type="dxa"/>
          </w:tblCellMar>
        </w:tblPrEx>
        <w:trPr>
          <w:trHeight w:val="281"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09050183">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6B175846">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24B2AA61">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089752A2">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190F034C">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75AB345D">
            <w:pPr>
              <w:widowControl/>
              <w:spacing w:line="360" w:lineRule="auto"/>
              <w:jc w:val="center"/>
              <w:textAlignment w:val="center"/>
              <w:rPr>
                <w:rFonts w:hint="eastAsia" w:ascii="宋体" w:hAnsi="宋体" w:eastAsia="宋体" w:cs="宋体"/>
                <w:color w:val="000000"/>
                <w:sz w:val="24"/>
                <w:szCs w:val="24"/>
                <w:lang w:eastAsia="zh-CN" w:bidi="ar"/>
              </w:rPr>
            </w:pPr>
          </w:p>
        </w:tc>
        <w:tc>
          <w:tcPr>
            <w:tcW w:w="1024" w:type="dxa"/>
            <w:gridSpan w:val="2"/>
            <w:tcBorders>
              <w:left w:val="single" w:color="000000" w:sz="4" w:space="0"/>
              <w:bottom w:val="single" w:color="auto" w:sz="4" w:space="0"/>
              <w:right w:val="single" w:color="auto" w:sz="4" w:space="0"/>
            </w:tcBorders>
            <w:vAlign w:val="center"/>
          </w:tcPr>
          <w:p w14:paraId="5B0A548C">
            <w:pPr>
              <w:widowControl/>
              <w:spacing w:line="36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093" w:type="dxa"/>
            <w:vMerge w:val="continue"/>
            <w:tcBorders>
              <w:left w:val="single" w:color="auto" w:sz="4" w:space="0"/>
              <w:bottom w:val="single" w:color="auto" w:sz="4" w:space="0"/>
              <w:right w:val="single" w:color="auto" w:sz="4" w:space="0"/>
            </w:tcBorders>
            <w:vAlign w:val="center"/>
          </w:tcPr>
          <w:p w14:paraId="2FAC9329">
            <w:pPr>
              <w:widowControl/>
              <w:spacing w:line="360" w:lineRule="auto"/>
              <w:jc w:val="center"/>
              <w:textAlignment w:val="center"/>
              <w:rPr>
                <w:rFonts w:hint="eastAsia" w:ascii="宋体" w:hAnsi="宋体" w:eastAsia="宋体" w:cs="宋体"/>
                <w:color w:val="000000"/>
                <w:sz w:val="24"/>
                <w:szCs w:val="24"/>
                <w:lang w:eastAsia="zh-CN" w:bidi="ar"/>
              </w:rPr>
            </w:pPr>
          </w:p>
        </w:tc>
        <w:tc>
          <w:tcPr>
            <w:tcW w:w="2535" w:type="dxa"/>
            <w:vMerge w:val="continue"/>
            <w:tcBorders>
              <w:left w:val="single" w:color="auto" w:sz="4" w:space="0"/>
              <w:bottom w:val="single" w:color="auto" w:sz="4" w:space="0"/>
              <w:right w:val="single" w:color="auto" w:sz="4" w:space="0"/>
            </w:tcBorders>
            <w:vAlign w:val="center"/>
          </w:tcPr>
          <w:p w14:paraId="78AC5BB9">
            <w:pPr>
              <w:widowControl/>
              <w:spacing w:line="360" w:lineRule="auto"/>
              <w:jc w:val="center"/>
              <w:textAlignment w:val="center"/>
              <w:rPr>
                <w:rFonts w:hint="eastAsia" w:ascii="宋体" w:hAnsi="宋体" w:eastAsia="宋体" w:cs="宋体"/>
                <w:color w:val="000000"/>
                <w:sz w:val="24"/>
                <w:szCs w:val="24"/>
                <w:lang w:eastAsia="zh-CN" w:bidi="ar"/>
              </w:rPr>
            </w:pPr>
          </w:p>
        </w:tc>
      </w:tr>
      <w:tr w14:paraId="5182D072">
        <w:tblPrEx>
          <w:tblCellMar>
            <w:top w:w="0" w:type="dxa"/>
            <w:left w:w="108" w:type="dxa"/>
            <w:bottom w:w="0" w:type="dxa"/>
            <w:right w:w="108" w:type="dxa"/>
          </w:tblCellMar>
        </w:tblPrEx>
        <w:trPr>
          <w:trHeight w:val="282"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43842505">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10-2</w:t>
            </w:r>
          </w:p>
        </w:tc>
        <w:tc>
          <w:tcPr>
            <w:tcW w:w="1984" w:type="dxa"/>
            <w:vMerge w:val="restart"/>
            <w:tcBorders>
              <w:top w:val="single" w:color="auto" w:sz="4" w:space="0"/>
              <w:left w:val="single" w:color="000000" w:sz="4" w:space="0"/>
              <w:right w:val="single" w:color="000000" w:sz="4" w:space="0"/>
            </w:tcBorders>
            <w:vAlign w:val="center"/>
          </w:tcPr>
          <w:p w14:paraId="0B56B447">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短袖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tc>
        <w:tc>
          <w:tcPr>
            <w:tcW w:w="842" w:type="dxa"/>
            <w:vMerge w:val="restart"/>
            <w:tcBorders>
              <w:top w:val="single" w:color="000000" w:sz="4" w:space="0"/>
              <w:left w:val="single" w:color="000000" w:sz="4" w:space="0"/>
              <w:right w:val="single" w:color="000000" w:sz="4" w:space="0"/>
            </w:tcBorders>
            <w:vAlign w:val="center"/>
          </w:tcPr>
          <w:p w14:paraId="293CB8B4">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件</w:t>
            </w:r>
          </w:p>
        </w:tc>
        <w:tc>
          <w:tcPr>
            <w:tcW w:w="1155" w:type="dxa"/>
            <w:vMerge w:val="restart"/>
            <w:tcBorders>
              <w:top w:val="single" w:color="000000" w:sz="4" w:space="0"/>
              <w:left w:val="single" w:color="000000" w:sz="4" w:space="0"/>
              <w:right w:val="single" w:color="000000" w:sz="4" w:space="0"/>
            </w:tcBorders>
            <w:vAlign w:val="center"/>
          </w:tcPr>
          <w:p w14:paraId="0206B1C8">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48.00</w:t>
            </w:r>
          </w:p>
        </w:tc>
        <w:tc>
          <w:tcPr>
            <w:tcW w:w="855" w:type="dxa"/>
            <w:vMerge w:val="restart"/>
            <w:tcBorders>
              <w:top w:val="single" w:color="000000" w:sz="4" w:space="0"/>
              <w:left w:val="single" w:color="000000" w:sz="4" w:space="0"/>
              <w:right w:val="single" w:color="000000" w:sz="4" w:space="0"/>
            </w:tcBorders>
            <w:vAlign w:val="center"/>
          </w:tcPr>
          <w:p w14:paraId="7623D009">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6270</w:t>
            </w:r>
          </w:p>
        </w:tc>
        <w:tc>
          <w:tcPr>
            <w:tcW w:w="1582" w:type="dxa"/>
            <w:gridSpan w:val="2"/>
            <w:vMerge w:val="continue"/>
            <w:tcBorders>
              <w:left w:val="single" w:color="000000" w:sz="4" w:space="0"/>
              <w:right w:val="single" w:color="000000" w:sz="4" w:space="0"/>
            </w:tcBorders>
            <w:vAlign w:val="center"/>
          </w:tcPr>
          <w:p w14:paraId="20ABDFF2">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77F2C839">
            <w:pPr>
              <w:spacing w:line="360" w:lineRule="auto"/>
              <w:jc w:val="center"/>
              <w:rPr>
                <w:rFonts w:hint="eastAsia" w:ascii="宋体" w:hAnsi="宋体" w:eastAsia="宋体" w:cs="宋体"/>
                <w:color w:val="000000"/>
                <w:sz w:val="24"/>
                <w:szCs w:val="24"/>
              </w:rPr>
            </w:pPr>
          </w:p>
        </w:tc>
        <w:tc>
          <w:tcPr>
            <w:tcW w:w="3093" w:type="dxa"/>
            <w:vMerge w:val="restart"/>
            <w:tcBorders>
              <w:top w:val="single" w:color="auto" w:sz="4" w:space="0"/>
              <w:left w:val="single" w:color="auto" w:sz="4" w:space="0"/>
              <w:right w:val="single" w:color="auto" w:sz="4" w:space="0"/>
            </w:tcBorders>
            <w:vAlign w:val="center"/>
          </w:tcPr>
          <w:p w14:paraId="41487A4A">
            <w:pPr>
              <w:widowControl/>
              <w:spacing w:line="360" w:lineRule="auto"/>
              <w:jc w:val="center"/>
              <w:textAlignment w:val="top"/>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本品种要求递交样品为</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eastAsia="zh-CN" w:bidi="ar"/>
              </w:rPr>
              <w:t>女短袖</w:t>
            </w:r>
            <w:r>
              <w:rPr>
                <w:rStyle w:val="8"/>
                <w:rFonts w:hint="eastAsia" w:ascii="宋体" w:hAnsi="宋体" w:eastAsia="宋体" w:cs="宋体"/>
                <w:sz w:val="24"/>
                <w:szCs w:val="24"/>
                <w:lang w:eastAsia="zh-CN" w:bidi="ar"/>
              </w:rPr>
              <w:t>T</w:t>
            </w:r>
            <w:r>
              <w:rPr>
                <w:rFonts w:hint="eastAsia" w:ascii="宋体" w:hAnsi="宋体" w:eastAsia="宋体" w:cs="宋体"/>
                <w:color w:val="000000"/>
                <w:sz w:val="24"/>
                <w:szCs w:val="24"/>
                <w:lang w:eastAsia="zh-CN" w:bidi="ar"/>
              </w:rPr>
              <w:t>恤衫</w:t>
            </w:r>
          </w:p>
          <w:p w14:paraId="67CB8C01">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数量：3件</w:t>
            </w:r>
          </w:p>
          <w:p w14:paraId="04DA66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号型：165/88</w:t>
            </w:r>
          </w:p>
        </w:tc>
        <w:tc>
          <w:tcPr>
            <w:tcW w:w="2535" w:type="dxa"/>
            <w:vMerge w:val="restart"/>
            <w:tcBorders>
              <w:top w:val="single" w:color="auto" w:sz="4" w:space="0"/>
              <w:left w:val="single" w:color="auto" w:sz="4" w:space="0"/>
              <w:right w:val="single" w:color="auto" w:sz="4" w:space="0"/>
            </w:tcBorders>
            <w:vAlign w:val="center"/>
          </w:tcPr>
          <w:p w14:paraId="7052B3A9">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检验报告检验项目包括：成品外在质量（型式检验项目）、面料耐皂洗色牢度、面料耐汗渍色牢度、面料勾丝、面料耐光色牢度</w:t>
            </w:r>
          </w:p>
        </w:tc>
      </w:tr>
      <w:tr w14:paraId="621CEE42">
        <w:tblPrEx>
          <w:tblCellMar>
            <w:top w:w="0" w:type="dxa"/>
            <w:left w:w="108" w:type="dxa"/>
            <w:bottom w:w="0" w:type="dxa"/>
            <w:right w:w="108" w:type="dxa"/>
          </w:tblCellMar>
        </w:tblPrEx>
        <w:trPr>
          <w:trHeight w:val="281"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6E3BE982">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0786D907">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7FBD3207">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53EA3CDB">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00D91D15">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3C2BE0CB">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auto" w:sz="4" w:space="0"/>
              <w:right w:val="single" w:color="auto" w:sz="4" w:space="0"/>
            </w:tcBorders>
            <w:vAlign w:val="center"/>
          </w:tcPr>
          <w:p w14:paraId="5CFF3FFB">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3093" w:type="dxa"/>
            <w:vMerge w:val="continue"/>
            <w:tcBorders>
              <w:left w:val="single" w:color="auto" w:sz="4" w:space="0"/>
              <w:bottom w:val="single" w:color="auto" w:sz="4" w:space="0"/>
              <w:right w:val="single" w:color="auto" w:sz="4" w:space="0"/>
            </w:tcBorders>
            <w:vAlign w:val="center"/>
          </w:tcPr>
          <w:p w14:paraId="59F75683">
            <w:pPr>
              <w:spacing w:line="360" w:lineRule="auto"/>
              <w:jc w:val="center"/>
              <w:rPr>
                <w:rFonts w:hint="eastAsia" w:ascii="宋体" w:hAnsi="宋体" w:eastAsia="宋体" w:cs="宋体"/>
                <w:color w:val="000000"/>
                <w:sz w:val="24"/>
                <w:szCs w:val="24"/>
              </w:rPr>
            </w:pPr>
          </w:p>
        </w:tc>
        <w:tc>
          <w:tcPr>
            <w:tcW w:w="2535" w:type="dxa"/>
            <w:vMerge w:val="continue"/>
            <w:tcBorders>
              <w:left w:val="single" w:color="auto" w:sz="4" w:space="0"/>
              <w:bottom w:val="single" w:color="auto" w:sz="4" w:space="0"/>
              <w:right w:val="single" w:color="auto" w:sz="4" w:space="0"/>
            </w:tcBorders>
            <w:vAlign w:val="center"/>
          </w:tcPr>
          <w:p w14:paraId="03D589E4">
            <w:pPr>
              <w:spacing w:line="360" w:lineRule="auto"/>
              <w:jc w:val="center"/>
              <w:rPr>
                <w:rFonts w:hint="eastAsia" w:ascii="宋体" w:hAnsi="宋体" w:eastAsia="宋体" w:cs="宋体"/>
                <w:color w:val="000000"/>
                <w:sz w:val="24"/>
                <w:szCs w:val="24"/>
                <w:lang w:eastAsia="zh-CN"/>
              </w:rPr>
            </w:pPr>
          </w:p>
        </w:tc>
      </w:tr>
      <w:tr w14:paraId="04D1A65B">
        <w:tblPrEx>
          <w:tblCellMar>
            <w:top w:w="0" w:type="dxa"/>
            <w:left w:w="108" w:type="dxa"/>
            <w:bottom w:w="0" w:type="dxa"/>
            <w:right w:w="108" w:type="dxa"/>
          </w:tblCellMar>
        </w:tblPrEx>
        <w:trPr>
          <w:trHeight w:val="293"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79227C8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10-3</w:t>
            </w:r>
          </w:p>
        </w:tc>
        <w:tc>
          <w:tcPr>
            <w:tcW w:w="1984" w:type="dxa"/>
            <w:vMerge w:val="restart"/>
            <w:tcBorders>
              <w:top w:val="single" w:color="auto" w:sz="4" w:space="0"/>
              <w:left w:val="single" w:color="000000" w:sz="4" w:space="0"/>
              <w:right w:val="single" w:color="000000" w:sz="4" w:space="0"/>
            </w:tcBorders>
            <w:vAlign w:val="center"/>
          </w:tcPr>
          <w:p w14:paraId="476F9D4C">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体能训练短裤</w:t>
            </w:r>
          </w:p>
        </w:tc>
        <w:tc>
          <w:tcPr>
            <w:tcW w:w="842" w:type="dxa"/>
            <w:vMerge w:val="restart"/>
            <w:tcBorders>
              <w:top w:val="single" w:color="000000" w:sz="4" w:space="0"/>
              <w:left w:val="single" w:color="000000" w:sz="4" w:space="0"/>
              <w:right w:val="single" w:color="000000" w:sz="4" w:space="0"/>
            </w:tcBorders>
            <w:vAlign w:val="center"/>
          </w:tcPr>
          <w:p w14:paraId="28C696FB">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条</w:t>
            </w:r>
          </w:p>
        </w:tc>
        <w:tc>
          <w:tcPr>
            <w:tcW w:w="1155" w:type="dxa"/>
            <w:vMerge w:val="restart"/>
            <w:tcBorders>
              <w:top w:val="single" w:color="000000" w:sz="4" w:space="0"/>
              <w:left w:val="single" w:color="000000" w:sz="4" w:space="0"/>
              <w:right w:val="single" w:color="000000" w:sz="4" w:space="0"/>
            </w:tcBorders>
            <w:vAlign w:val="center"/>
          </w:tcPr>
          <w:p w14:paraId="58506907">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65.00</w:t>
            </w:r>
          </w:p>
        </w:tc>
        <w:tc>
          <w:tcPr>
            <w:tcW w:w="855" w:type="dxa"/>
            <w:vMerge w:val="restart"/>
            <w:tcBorders>
              <w:top w:val="single" w:color="000000" w:sz="4" w:space="0"/>
              <w:left w:val="single" w:color="000000" w:sz="4" w:space="0"/>
              <w:right w:val="single" w:color="000000" w:sz="4" w:space="0"/>
            </w:tcBorders>
            <w:vAlign w:val="center"/>
          </w:tcPr>
          <w:p w14:paraId="277296CE">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280</w:t>
            </w:r>
          </w:p>
        </w:tc>
        <w:tc>
          <w:tcPr>
            <w:tcW w:w="1582" w:type="dxa"/>
            <w:gridSpan w:val="2"/>
            <w:vMerge w:val="continue"/>
            <w:tcBorders>
              <w:left w:val="single" w:color="000000" w:sz="4" w:space="0"/>
              <w:right w:val="single" w:color="000000" w:sz="4" w:space="0"/>
            </w:tcBorders>
            <w:vAlign w:val="center"/>
          </w:tcPr>
          <w:p w14:paraId="74E6F000">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23BDE7AC">
            <w:pPr>
              <w:spacing w:line="360" w:lineRule="auto"/>
              <w:jc w:val="center"/>
              <w:rPr>
                <w:rFonts w:hint="eastAsia" w:ascii="宋体" w:hAnsi="宋体" w:eastAsia="宋体" w:cs="宋体"/>
                <w:color w:val="000000"/>
                <w:sz w:val="24"/>
                <w:szCs w:val="24"/>
              </w:rPr>
            </w:pPr>
          </w:p>
        </w:tc>
        <w:tc>
          <w:tcPr>
            <w:tcW w:w="3093" w:type="dxa"/>
            <w:vMerge w:val="restart"/>
            <w:tcBorders>
              <w:top w:val="single" w:color="auto" w:sz="4" w:space="0"/>
              <w:left w:val="single" w:color="auto" w:sz="4" w:space="0"/>
              <w:right w:val="single" w:color="auto" w:sz="4" w:space="0"/>
            </w:tcBorders>
            <w:vAlign w:val="center"/>
          </w:tcPr>
          <w:p w14:paraId="54C25695">
            <w:pPr>
              <w:spacing w:line="360" w:lineRule="auto"/>
              <w:jc w:val="center"/>
              <w:rPr>
                <w:rFonts w:hint="eastAsia" w:ascii="宋体" w:hAnsi="宋体" w:eastAsia="宋体" w:cs="宋体"/>
                <w:color w:val="000000"/>
                <w:sz w:val="24"/>
                <w:szCs w:val="24"/>
              </w:rPr>
            </w:pPr>
          </w:p>
        </w:tc>
        <w:tc>
          <w:tcPr>
            <w:tcW w:w="2535" w:type="dxa"/>
            <w:vMerge w:val="restart"/>
            <w:tcBorders>
              <w:top w:val="single" w:color="auto" w:sz="4" w:space="0"/>
              <w:left w:val="single" w:color="auto" w:sz="4" w:space="0"/>
              <w:right w:val="single" w:color="auto" w:sz="4" w:space="0"/>
            </w:tcBorders>
            <w:vAlign w:val="center"/>
          </w:tcPr>
          <w:p w14:paraId="29B8ECBC">
            <w:pPr>
              <w:spacing w:line="360" w:lineRule="auto"/>
              <w:jc w:val="center"/>
              <w:rPr>
                <w:rFonts w:hint="eastAsia" w:ascii="宋体" w:hAnsi="宋体" w:eastAsia="宋体" w:cs="宋体"/>
                <w:color w:val="000000"/>
                <w:sz w:val="24"/>
                <w:szCs w:val="24"/>
                <w:lang w:eastAsia="zh-CN"/>
              </w:rPr>
            </w:pPr>
          </w:p>
        </w:tc>
      </w:tr>
      <w:tr w14:paraId="523C0410">
        <w:tblPrEx>
          <w:tblCellMar>
            <w:top w:w="0" w:type="dxa"/>
            <w:left w:w="108" w:type="dxa"/>
            <w:bottom w:w="0" w:type="dxa"/>
            <w:right w:w="108" w:type="dxa"/>
          </w:tblCellMar>
        </w:tblPrEx>
        <w:trPr>
          <w:trHeight w:val="292"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2F96E1FA">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69B0BD25">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5C2BABEC">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38BE5354">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16D9601C">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04945C40">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auto" w:sz="4" w:space="0"/>
              <w:right w:val="single" w:color="auto" w:sz="4" w:space="0"/>
            </w:tcBorders>
            <w:vAlign w:val="center"/>
          </w:tcPr>
          <w:p w14:paraId="4822AE39">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3093" w:type="dxa"/>
            <w:vMerge w:val="continue"/>
            <w:tcBorders>
              <w:left w:val="single" w:color="auto" w:sz="4" w:space="0"/>
              <w:bottom w:val="single" w:color="auto" w:sz="4" w:space="0"/>
              <w:right w:val="single" w:color="auto" w:sz="4" w:space="0"/>
            </w:tcBorders>
            <w:vAlign w:val="center"/>
          </w:tcPr>
          <w:p w14:paraId="09643401">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bottom w:val="single" w:color="auto" w:sz="4" w:space="0"/>
              <w:right w:val="single" w:color="auto" w:sz="4" w:space="0"/>
            </w:tcBorders>
            <w:vAlign w:val="center"/>
          </w:tcPr>
          <w:p w14:paraId="1D668867">
            <w:pPr>
              <w:spacing w:line="360" w:lineRule="auto"/>
              <w:jc w:val="center"/>
              <w:rPr>
                <w:rFonts w:hint="eastAsia" w:ascii="宋体" w:hAnsi="宋体" w:eastAsia="宋体" w:cs="宋体"/>
                <w:color w:val="000000"/>
                <w:sz w:val="24"/>
                <w:szCs w:val="24"/>
                <w:lang w:eastAsia="zh-CN"/>
              </w:rPr>
            </w:pPr>
          </w:p>
        </w:tc>
      </w:tr>
      <w:tr w14:paraId="460A976F">
        <w:tblPrEx>
          <w:tblCellMar>
            <w:top w:w="0" w:type="dxa"/>
            <w:left w:w="108" w:type="dxa"/>
            <w:bottom w:w="0" w:type="dxa"/>
            <w:right w:w="108" w:type="dxa"/>
          </w:tblCellMar>
        </w:tblPrEx>
        <w:trPr>
          <w:trHeight w:val="293"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367FC8DB">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10-4</w:t>
            </w:r>
          </w:p>
        </w:tc>
        <w:tc>
          <w:tcPr>
            <w:tcW w:w="1984" w:type="dxa"/>
            <w:vMerge w:val="restart"/>
            <w:tcBorders>
              <w:top w:val="single" w:color="auto" w:sz="4" w:space="0"/>
              <w:left w:val="single" w:color="000000" w:sz="4" w:space="0"/>
              <w:right w:val="single" w:color="000000" w:sz="4" w:space="0"/>
            </w:tcBorders>
            <w:vAlign w:val="center"/>
          </w:tcPr>
          <w:p w14:paraId="5CDDA5FD">
            <w:pPr>
              <w:widowControl/>
              <w:spacing w:line="360" w:lineRule="auto"/>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长袖体能训练服（聚酯氨纶空气层针织布）</w:t>
            </w:r>
          </w:p>
        </w:tc>
        <w:tc>
          <w:tcPr>
            <w:tcW w:w="842" w:type="dxa"/>
            <w:vMerge w:val="restart"/>
            <w:tcBorders>
              <w:top w:val="single" w:color="000000" w:sz="4" w:space="0"/>
              <w:left w:val="single" w:color="000000" w:sz="4" w:space="0"/>
              <w:right w:val="single" w:color="000000" w:sz="4" w:space="0"/>
            </w:tcBorders>
            <w:vAlign w:val="center"/>
          </w:tcPr>
          <w:p w14:paraId="31DAD48F">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3048D90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254.00</w:t>
            </w:r>
          </w:p>
        </w:tc>
        <w:tc>
          <w:tcPr>
            <w:tcW w:w="855" w:type="dxa"/>
            <w:vMerge w:val="restart"/>
            <w:tcBorders>
              <w:top w:val="single" w:color="000000" w:sz="4" w:space="0"/>
              <w:left w:val="single" w:color="000000" w:sz="4" w:space="0"/>
              <w:right w:val="single" w:color="000000" w:sz="4" w:space="0"/>
            </w:tcBorders>
            <w:vAlign w:val="center"/>
          </w:tcPr>
          <w:p w14:paraId="09D0FAA3">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3055</w:t>
            </w:r>
          </w:p>
        </w:tc>
        <w:tc>
          <w:tcPr>
            <w:tcW w:w="1582" w:type="dxa"/>
            <w:gridSpan w:val="2"/>
            <w:vMerge w:val="continue"/>
            <w:tcBorders>
              <w:left w:val="single" w:color="000000" w:sz="4" w:space="0"/>
              <w:right w:val="single" w:color="000000" w:sz="4" w:space="0"/>
            </w:tcBorders>
            <w:vAlign w:val="center"/>
          </w:tcPr>
          <w:p w14:paraId="61FB2279">
            <w:pPr>
              <w:spacing w:line="360" w:lineRule="auto"/>
              <w:jc w:val="center"/>
              <w:rPr>
                <w:rFonts w:hint="eastAsia" w:ascii="宋体" w:hAnsi="宋体" w:eastAsia="宋体" w:cs="宋体"/>
                <w:color w:val="000000"/>
                <w:sz w:val="24"/>
                <w:szCs w:val="24"/>
              </w:rPr>
            </w:pPr>
          </w:p>
        </w:tc>
        <w:tc>
          <w:tcPr>
            <w:tcW w:w="1024" w:type="dxa"/>
            <w:gridSpan w:val="2"/>
            <w:tcBorders>
              <w:top w:val="single" w:color="auto" w:sz="4" w:space="0"/>
              <w:left w:val="single" w:color="000000" w:sz="4" w:space="0"/>
              <w:right w:val="single" w:color="auto" w:sz="4" w:space="0"/>
            </w:tcBorders>
            <w:vAlign w:val="center"/>
          </w:tcPr>
          <w:p w14:paraId="62731E41">
            <w:pPr>
              <w:spacing w:line="360" w:lineRule="auto"/>
              <w:jc w:val="center"/>
              <w:rPr>
                <w:rFonts w:hint="eastAsia" w:ascii="宋体" w:hAnsi="宋体" w:eastAsia="宋体" w:cs="宋体"/>
                <w:color w:val="000000"/>
                <w:sz w:val="24"/>
                <w:szCs w:val="24"/>
              </w:rPr>
            </w:pPr>
          </w:p>
        </w:tc>
        <w:tc>
          <w:tcPr>
            <w:tcW w:w="3093" w:type="dxa"/>
            <w:vMerge w:val="restart"/>
            <w:tcBorders>
              <w:top w:val="single" w:color="auto" w:sz="4" w:space="0"/>
              <w:left w:val="single" w:color="auto" w:sz="4" w:space="0"/>
              <w:right w:val="single" w:color="auto" w:sz="4" w:space="0"/>
            </w:tcBorders>
            <w:vAlign w:val="center"/>
          </w:tcPr>
          <w:p w14:paraId="0A6C1E3C">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本品种要求递交样品为：男长袖体能训练服</w:t>
            </w:r>
          </w:p>
          <w:p w14:paraId="2E90B1CE">
            <w:pPr>
              <w:widowControl/>
              <w:spacing w:line="360" w:lineRule="auto"/>
              <w:jc w:val="center"/>
              <w:textAlignment w:val="top"/>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数量：3套</w:t>
            </w:r>
          </w:p>
          <w:p w14:paraId="487579F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bidi="ar"/>
              </w:rPr>
              <w:t>号型：上衣180/112，裤子180/98</w:t>
            </w:r>
          </w:p>
        </w:tc>
        <w:tc>
          <w:tcPr>
            <w:tcW w:w="2535" w:type="dxa"/>
            <w:vMerge w:val="restart"/>
            <w:tcBorders>
              <w:top w:val="single" w:color="auto" w:sz="4" w:space="0"/>
              <w:left w:val="single" w:color="auto" w:sz="4" w:space="0"/>
              <w:right w:val="single" w:color="auto" w:sz="4" w:space="0"/>
            </w:tcBorders>
            <w:vAlign w:val="center"/>
          </w:tcPr>
          <w:p w14:paraId="3369DA4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bidi="ar"/>
              </w:rPr>
              <w:t>检验报告检验项目包括：成品外在质量（型式检验项目）、面料纤维含量、面料勾丝、面料起毛起球、面料耐光色牢度、面料平方米干燥重量</w:t>
            </w:r>
          </w:p>
        </w:tc>
      </w:tr>
      <w:tr w14:paraId="6D5D3A76">
        <w:tblPrEx>
          <w:tblCellMar>
            <w:top w:w="0" w:type="dxa"/>
            <w:left w:w="108" w:type="dxa"/>
            <w:bottom w:w="0" w:type="dxa"/>
            <w:right w:w="108" w:type="dxa"/>
          </w:tblCellMar>
        </w:tblPrEx>
        <w:trPr>
          <w:trHeight w:val="292"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549B53AF">
            <w:pPr>
              <w:widowControl/>
              <w:spacing w:line="360" w:lineRule="auto"/>
              <w:jc w:val="center"/>
              <w:textAlignment w:val="center"/>
              <w:rPr>
                <w:rFonts w:hint="eastAsia" w:ascii="宋体" w:hAnsi="宋体" w:eastAsia="宋体" w:cs="宋体"/>
                <w:color w:val="000000"/>
                <w:sz w:val="24"/>
                <w:szCs w:val="24"/>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39717470">
            <w:pPr>
              <w:widowControl/>
              <w:spacing w:line="360" w:lineRule="auto"/>
              <w:jc w:val="center"/>
              <w:textAlignment w:val="center"/>
              <w:rPr>
                <w:rFonts w:hint="eastAsia" w:ascii="宋体" w:hAnsi="宋体" w:eastAsia="宋体" w:cs="宋体"/>
                <w:color w:val="000000"/>
                <w:sz w:val="24"/>
                <w:szCs w:val="24"/>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7940D4C0">
            <w:pPr>
              <w:widowControl/>
              <w:spacing w:line="360" w:lineRule="auto"/>
              <w:jc w:val="center"/>
              <w:textAlignment w:val="center"/>
              <w:rPr>
                <w:rFonts w:hint="eastAsia" w:ascii="宋体" w:hAnsi="宋体" w:eastAsia="宋体" w:cs="宋体"/>
                <w:color w:val="000000"/>
                <w:sz w:val="24"/>
                <w:szCs w:val="24"/>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0E87816D">
            <w:pPr>
              <w:widowControl/>
              <w:spacing w:line="360" w:lineRule="auto"/>
              <w:jc w:val="center"/>
              <w:textAlignment w:val="center"/>
              <w:rPr>
                <w:rFonts w:hint="eastAsia" w:ascii="宋体" w:hAnsi="宋体" w:eastAsia="宋体" w:cs="宋体"/>
                <w:color w:val="000000"/>
                <w:sz w:val="24"/>
                <w:szCs w:val="24"/>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6683C0AB">
            <w:pPr>
              <w:widowControl/>
              <w:spacing w:line="360" w:lineRule="auto"/>
              <w:jc w:val="center"/>
              <w:textAlignment w:val="center"/>
              <w:rPr>
                <w:rFonts w:hint="eastAsia" w:ascii="宋体" w:hAnsi="宋体" w:eastAsia="宋体" w:cs="宋体"/>
                <w:color w:val="000000"/>
                <w:sz w:val="24"/>
                <w:szCs w:val="24"/>
                <w:lang w:eastAsia="zh-CN" w:bidi="ar"/>
              </w:rPr>
            </w:pPr>
          </w:p>
        </w:tc>
        <w:tc>
          <w:tcPr>
            <w:tcW w:w="1582" w:type="dxa"/>
            <w:gridSpan w:val="2"/>
            <w:vMerge w:val="continue"/>
            <w:tcBorders>
              <w:left w:val="single" w:color="000000" w:sz="4" w:space="0"/>
              <w:right w:val="single" w:color="000000" w:sz="4" w:space="0"/>
            </w:tcBorders>
            <w:vAlign w:val="center"/>
          </w:tcPr>
          <w:p w14:paraId="56FF8DB3">
            <w:pPr>
              <w:spacing w:line="360" w:lineRule="auto"/>
              <w:jc w:val="center"/>
              <w:rPr>
                <w:rFonts w:hint="eastAsia" w:ascii="宋体" w:hAnsi="宋体" w:eastAsia="宋体" w:cs="宋体"/>
                <w:color w:val="000000"/>
                <w:sz w:val="24"/>
                <w:szCs w:val="24"/>
              </w:rPr>
            </w:pPr>
          </w:p>
        </w:tc>
        <w:tc>
          <w:tcPr>
            <w:tcW w:w="1024" w:type="dxa"/>
            <w:gridSpan w:val="2"/>
            <w:tcBorders>
              <w:left w:val="single" w:color="000000" w:sz="4" w:space="0"/>
              <w:bottom w:val="single" w:color="auto" w:sz="4" w:space="0"/>
              <w:right w:val="single" w:color="auto" w:sz="4" w:space="0"/>
            </w:tcBorders>
            <w:vAlign w:val="center"/>
          </w:tcPr>
          <w:p w14:paraId="503BB19B">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3093" w:type="dxa"/>
            <w:vMerge w:val="continue"/>
            <w:tcBorders>
              <w:left w:val="single" w:color="auto" w:sz="4" w:space="0"/>
              <w:bottom w:val="single" w:color="auto" w:sz="4" w:space="0"/>
              <w:right w:val="single" w:color="auto" w:sz="4" w:space="0"/>
            </w:tcBorders>
            <w:vAlign w:val="center"/>
          </w:tcPr>
          <w:p w14:paraId="3CF7E4FD">
            <w:pPr>
              <w:spacing w:line="360" w:lineRule="auto"/>
              <w:jc w:val="center"/>
              <w:rPr>
                <w:rFonts w:hint="eastAsia" w:ascii="宋体" w:hAnsi="宋体" w:eastAsia="宋体" w:cs="宋体"/>
                <w:color w:val="000000"/>
                <w:sz w:val="24"/>
                <w:szCs w:val="24"/>
                <w:lang w:eastAsia="zh-CN"/>
              </w:rPr>
            </w:pPr>
          </w:p>
        </w:tc>
        <w:tc>
          <w:tcPr>
            <w:tcW w:w="2535" w:type="dxa"/>
            <w:vMerge w:val="continue"/>
            <w:tcBorders>
              <w:left w:val="single" w:color="auto" w:sz="4" w:space="0"/>
              <w:bottom w:val="single" w:color="auto" w:sz="4" w:space="0"/>
              <w:right w:val="single" w:color="auto" w:sz="4" w:space="0"/>
            </w:tcBorders>
            <w:vAlign w:val="center"/>
          </w:tcPr>
          <w:p w14:paraId="347B0944">
            <w:pPr>
              <w:spacing w:line="360" w:lineRule="auto"/>
              <w:jc w:val="center"/>
              <w:rPr>
                <w:rFonts w:hint="eastAsia" w:ascii="宋体" w:hAnsi="宋体" w:eastAsia="宋体" w:cs="宋体"/>
                <w:color w:val="000000"/>
                <w:sz w:val="24"/>
                <w:szCs w:val="24"/>
                <w:lang w:eastAsia="zh-CN"/>
              </w:rPr>
            </w:pPr>
          </w:p>
        </w:tc>
      </w:tr>
      <w:tr w14:paraId="671EF82F">
        <w:tblPrEx>
          <w:tblCellMar>
            <w:top w:w="0" w:type="dxa"/>
            <w:left w:w="108" w:type="dxa"/>
            <w:bottom w:w="0" w:type="dxa"/>
            <w:right w:w="108" w:type="dxa"/>
          </w:tblCellMar>
        </w:tblPrEx>
        <w:trPr>
          <w:trHeight w:val="282" w:hRule="atLeast"/>
        </w:trPr>
        <w:tc>
          <w:tcPr>
            <w:tcW w:w="1020" w:type="dxa"/>
            <w:vMerge w:val="restart"/>
            <w:tcBorders>
              <w:top w:val="single" w:color="auto" w:sz="4" w:space="0"/>
              <w:left w:val="single" w:color="000000" w:sz="4" w:space="0"/>
              <w:bottom w:val="single" w:color="auto" w:sz="4" w:space="0"/>
              <w:right w:val="single" w:color="000000" w:sz="4" w:space="0"/>
            </w:tcBorders>
            <w:vAlign w:val="center"/>
          </w:tcPr>
          <w:p w14:paraId="606A2C39">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10-5</w:t>
            </w:r>
          </w:p>
        </w:tc>
        <w:tc>
          <w:tcPr>
            <w:tcW w:w="1984" w:type="dxa"/>
            <w:vMerge w:val="restart"/>
            <w:tcBorders>
              <w:top w:val="single" w:color="auto" w:sz="4" w:space="0"/>
              <w:left w:val="single" w:color="000000" w:sz="4" w:space="0"/>
              <w:right w:val="single" w:color="000000" w:sz="4" w:space="0"/>
            </w:tcBorders>
            <w:vAlign w:val="center"/>
          </w:tcPr>
          <w:p w14:paraId="1EEE8DDD">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冬作训服（涤氨四面弹格子布复合针织布）</w:t>
            </w:r>
          </w:p>
        </w:tc>
        <w:tc>
          <w:tcPr>
            <w:tcW w:w="842" w:type="dxa"/>
            <w:vMerge w:val="restart"/>
            <w:tcBorders>
              <w:top w:val="single" w:color="000000" w:sz="4" w:space="0"/>
              <w:left w:val="single" w:color="000000" w:sz="4" w:space="0"/>
              <w:right w:val="single" w:color="000000" w:sz="4" w:space="0"/>
            </w:tcBorders>
            <w:vAlign w:val="center"/>
          </w:tcPr>
          <w:p w14:paraId="739297C8">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套</w:t>
            </w:r>
          </w:p>
        </w:tc>
        <w:tc>
          <w:tcPr>
            <w:tcW w:w="1155" w:type="dxa"/>
            <w:vMerge w:val="restart"/>
            <w:tcBorders>
              <w:top w:val="single" w:color="000000" w:sz="4" w:space="0"/>
              <w:left w:val="single" w:color="000000" w:sz="4" w:space="0"/>
              <w:right w:val="single" w:color="000000" w:sz="4" w:space="0"/>
            </w:tcBorders>
            <w:vAlign w:val="center"/>
          </w:tcPr>
          <w:p w14:paraId="311DA019">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325.00</w:t>
            </w:r>
          </w:p>
        </w:tc>
        <w:tc>
          <w:tcPr>
            <w:tcW w:w="855" w:type="dxa"/>
            <w:vMerge w:val="restart"/>
            <w:tcBorders>
              <w:top w:val="single" w:color="000000" w:sz="4" w:space="0"/>
              <w:left w:val="single" w:color="000000" w:sz="4" w:space="0"/>
              <w:right w:val="single" w:color="000000" w:sz="4" w:space="0"/>
            </w:tcBorders>
            <w:vAlign w:val="center"/>
          </w:tcPr>
          <w:p w14:paraId="43205917">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2732</w:t>
            </w:r>
          </w:p>
        </w:tc>
        <w:tc>
          <w:tcPr>
            <w:tcW w:w="1582" w:type="dxa"/>
            <w:gridSpan w:val="2"/>
            <w:vMerge w:val="continue"/>
            <w:tcBorders>
              <w:left w:val="single" w:color="000000" w:sz="4" w:space="0"/>
              <w:right w:val="single" w:color="000000" w:sz="4" w:space="0"/>
            </w:tcBorders>
            <w:vAlign w:val="center"/>
          </w:tcPr>
          <w:p w14:paraId="1647955F">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right w:val="single" w:color="auto" w:sz="4" w:space="0"/>
            </w:tcBorders>
            <w:vAlign w:val="center"/>
          </w:tcPr>
          <w:p w14:paraId="6AA3775F">
            <w:pPr>
              <w:spacing w:line="360" w:lineRule="auto"/>
              <w:jc w:val="center"/>
              <w:rPr>
                <w:rFonts w:hint="eastAsia" w:ascii="宋体" w:hAnsi="宋体" w:eastAsia="宋体" w:cs="宋体"/>
                <w:color w:val="000000"/>
                <w:sz w:val="24"/>
                <w:szCs w:val="24"/>
                <w:highlight w:val="none"/>
              </w:rPr>
            </w:pPr>
          </w:p>
        </w:tc>
        <w:tc>
          <w:tcPr>
            <w:tcW w:w="3093" w:type="dxa"/>
            <w:vMerge w:val="restart"/>
            <w:tcBorders>
              <w:top w:val="single" w:color="auto" w:sz="4" w:space="0"/>
              <w:left w:val="single" w:color="auto" w:sz="4" w:space="0"/>
              <w:right w:val="single" w:color="auto" w:sz="4" w:space="0"/>
            </w:tcBorders>
            <w:vAlign w:val="center"/>
          </w:tcPr>
          <w:p w14:paraId="6EDADAE8">
            <w:pPr>
              <w:widowControl/>
              <w:spacing w:line="360" w:lineRule="auto"/>
              <w:jc w:val="center"/>
              <w:textAlignment w:val="top"/>
              <w:rPr>
                <w:rFonts w:hint="eastAsia" w:ascii="宋体" w:hAnsi="宋体" w:eastAsia="宋体" w:cs="宋体"/>
                <w:color w:val="000000"/>
                <w:sz w:val="24"/>
                <w:szCs w:val="24"/>
                <w:highlight w:val="none"/>
                <w:lang w:val="en-US" w:eastAsia="zh-CN" w:bidi="ar"/>
              </w:rPr>
            </w:pPr>
            <w:r>
              <w:rPr>
                <w:rFonts w:hint="eastAsia" w:ascii="宋体" w:hAnsi="宋体" w:eastAsia="宋体" w:cs="宋体"/>
                <w:color w:val="000000"/>
                <w:sz w:val="24"/>
                <w:szCs w:val="24"/>
                <w:highlight w:val="none"/>
                <w:lang w:eastAsia="zh-CN" w:bidi="ar"/>
              </w:rPr>
              <w:t>本品种要求递交样品</w:t>
            </w:r>
            <w:r>
              <w:rPr>
                <w:rFonts w:hint="eastAsia" w:ascii="宋体" w:hAnsi="宋体" w:eastAsia="宋体" w:cs="宋体"/>
                <w:color w:val="000000"/>
                <w:sz w:val="24"/>
                <w:szCs w:val="24"/>
                <w:highlight w:val="none"/>
                <w:lang w:val="en-US" w:eastAsia="zh-CN" w:bidi="ar"/>
              </w:rPr>
              <w:t>为：男</w:t>
            </w:r>
            <w:r>
              <w:rPr>
                <w:rFonts w:hint="eastAsia" w:ascii="宋体" w:hAnsi="宋体" w:eastAsia="宋体" w:cs="宋体"/>
                <w:color w:val="000000"/>
                <w:sz w:val="24"/>
                <w:szCs w:val="24"/>
                <w:highlight w:val="none"/>
                <w:lang w:eastAsia="zh-CN" w:bidi="ar"/>
              </w:rPr>
              <w:t>冬作训服</w:t>
            </w:r>
          </w:p>
          <w:p w14:paraId="1EE5D287">
            <w:pPr>
              <w:widowControl/>
              <w:spacing w:line="360" w:lineRule="auto"/>
              <w:jc w:val="center"/>
              <w:textAlignment w:val="top"/>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数量：2套</w:t>
            </w:r>
          </w:p>
          <w:p w14:paraId="20DC569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号型：上衣180/100，裤子180/90</w:t>
            </w:r>
          </w:p>
        </w:tc>
        <w:tc>
          <w:tcPr>
            <w:tcW w:w="2535" w:type="dxa"/>
            <w:vMerge w:val="restart"/>
            <w:tcBorders>
              <w:top w:val="single" w:color="auto" w:sz="4" w:space="0"/>
              <w:left w:val="single" w:color="auto" w:sz="4" w:space="0"/>
              <w:right w:val="single" w:color="auto" w:sz="4" w:space="0"/>
            </w:tcBorders>
            <w:vAlign w:val="center"/>
          </w:tcPr>
          <w:p w14:paraId="4CE7F4DF">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bidi="ar"/>
              </w:rPr>
              <w:t>检验报告检验项目包括：成品外在质量（型式检验项目）、面料起毛起球、面料耐光色牢度</w:t>
            </w:r>
          </w:p>
        </w:tc>
      </w:tr>
      <w:tr w14:paraId="1F09C2CA">
        <w:tblPrEx>
          <w:tblCellMar>
            <w:top w:w="0" w:type="dxa"/>
            <w:left w:w="108" w:type="dxa"/>
            <w:bottom w:w="0" w:type="dxa"/>
            <w:right w:w="108" w:type="dxa"/>
          </w:tblCellMar>
        </w:tblPrEx>
        <w:trPr>
          <w:trHeight w:val="281" w:hRule="atLeast"/>
        </w:trPr>
        <w:tc>
          <w:tcPr>
            <w:tcW w:w="1020" w:type="dxa"/>
            <w:vMerge w:val="continue"/>
            <w:tcBorders>
              <w:top w:val="single" w:color="auto" w:sz="4" w:space="0"/>
              <w:left w:val="single" w:color="000000" w:sz="4" w:space="0"/>
              <w:bottom w:val="single" w:color="auto" w:sz="4" w:space="0"/>
              <w:right w:val="single" w:color="000000" w:sz="4" w:space="0"/>
            </w:tcBorders>
            <w:vAlign w:val="center"/>
          </w:tcPr>
          <w:p w14:paraId="15983F48">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1984" w:type="dxa"/>
            <w:vMerge w:val="continue"/>
            <w:tcBorders>
              <w:left w:val="single" w:color="000000" w:sz="4" w:space="0"/>
              <w:bottom w:val="single" w:color="auto" w:sz="4" w:space="0"/>
              <w:right w:val="single" w:color="000000" w:sz="4" w:space="0"/>
            </w:tcBorders>
            <w:vAlign w:val="center"/>
          </w:tcPr>
          <w:p w14:paraId="29E186CC">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842" w:type="dxa"/>
            <w:vMerge w:val="continue"/>
            <w:tcBorders>
              <w:left w:val="single" w:color="000000" w:sz="4" w:space="0"/>
              <w:bottom w:val="single" w:color="000000" w:sz="4" w:space="0"/>
              <w:right w:val="single" w:color="000000" w:sz="4" w:space="0"/>
            </w:tcBorders>
            <w:vAlign w:val="center"/>
          </w:tcPr>
          <w:p w14:paraId="259CCCB5">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1155" w:type="dxa"/>
            <w:vMerge w:val="continue"/>
            <w:tcBorders>
              <w:left w:val="single" w:color="000000" w:sz="4" w:space="0"/>
              <w:bottom w:val="single" w:color="000000" w:sz="4" w:space="0"/>
              <w:right w:val="single" w:color="000000" w:sz="4" w:space="0"/>
            </w:tcBorders>
            <w:vAlign w:val="center"/>
          </w:tcPr>
          <w:p w14:paraId="6019EDDC">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855" w:type="dxa"/>
            <w:vMerge w:val="continue"/>
            <w:tcBorders>
              <w:left w:val="single" w:color="000000" w:sz="4" w:space="0"/>
              <w:bottom w:val="single" w:color="000000" w:sz="4" w:space="0"/>
              <w:right w:val="single" w:color="000000" w:sz="4" w:space="0"/>
            </w:tcBorders>
            <w:vAlign w:val="center"/>
          </w:tcPr>
          <w:p w14:paraId="35F2CF25">
            <w:pPr>
              <w:widowControl/>
              <w:spacing w:line="360" w:lineRule="auto"/>
              <w:jc w:val="center"/>
              <w:textAlignment w:val="center"/>
              <w:rPr>
                <w:rFonts w:hint="eastAsia" w:ascii="宋体" w:hAnsi="宋体" w:eastAsia="宋体" w:cs="宋体"/>
                <w:color w:val="000000"/>
                <w:sz w:val="24"/>
                <w:szCs w:val="24"/>
                <w:highlight w:val="none"/>
                <w:lang w:eastAsia="zh-CN" w:bidi="ar"/>
              </w:rPr>
            </w:pPr>
          </w:p>
        </w:tc>
        <w:tc>
          <w:tcPr>
            <w:tcW w:w="1582" w:type="dxa"/>
            <w:gridSpan w:val="2"/>
            <w:vMerge w:val="continue"/>
            <w:tcBorders>
              <w:left w:val="single" w:color="000000" w:sz="4" w:space="0"/>
              <w:right w:val="single" w:color="000000" w:sz="4" w:space="0"/>
            </w:tcBorders>
            <w:vAlign w:val="center"/>
          </w:tcPr>
          <w:p w14:paraId="6F89EDE4">
            <w:pPr>
              <w:spacing w:line="360" w:lineRule="auto"/>
              <w:jc w:val="center"/>
              <w:rPr>
                <w:rFonts w:hint="eastAsia" w:ascii="宋体" w:hAnsi="宋体" w:eastAsia="宋体" w:cs="宋体"/>
                <w:color w:val="000000"/>
                <w:sz w:val="24"/>
                <w:szCs w:val="24"/>
                <w:highlight w:val="none"/>
              </w:rPr>
            </w:pPr>
          </w:p>
        </w:tc>
        <w:tc>
          <w:tcPr>
            <w:tcW w:w="1024" w:type="dxa"/>
            <w:gridSpan w:val="2"/>
            <w:tcBorders>
              <w:left w:val="single" w:color="000000" w:sz="4" w:space="0"/>
              <w:right w:val="single" w:color="auto" w:sz="4" w:space="0"/>
            </w:tcBorders>
            <w:vAlign w:val="center"/>
          </w:tcPr>
          <w:p w14:paraId="69208A53">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是</w:t>
            </w:r>
          </w:p>
        </w:tc>
        <w:tc>
          <w:tcPr>
            <w:tcW w:w="3093" w:type="dxa"/>
            <w:vMerge w:val="continue"/>
            <w:tcBorders>
              <w:left w:val="single" w:color="auto" w:sz="4" w:space="0"/>
              <w:bottom w:val="single" w:color="auto" w:sz="4" w:space="0"/>
              <w:right w:val="single" w:color="auto" w:sz="4" w:space="0"/>
            </w:tcBorders>
            <w:vAlign w:val="center"/>
          </w:tcPr>
          <w:p w14:paraId="3C45E340">
            <w:pPr>
              <w:spacing w:line="360" w:lineRule="auto"/>
              <w:jc w:val="center"/>
              <w:rPr>
                <w:rFonts w:hint="eastAsia" w:ascii="宋体" w:hAnsi="宋体" w:eastAsia="宋体" w:cs="宋体"/>
                <w:color w:val="000000"/>
                <w:sz w:val="24"/>
                <w:szCs w:val="24"/>
                <w:highlight w:val="none"/>
                <w:lang w:eastAsia="zh-CN"/>
              </w:rPr>
            </w:pPr>
          </w:p>
        </w:tc>
        <w:tc>
          <w:tcPr>
            <w:tcW w:w="2535" w:type="dxa"/>
            <w:vMerge w:val="continue"/>
            <w:tcBorders>
              <w:left w:val="single" w:color="auto" w:sz="4" w:space="0"/>
              <w:bottom w:val="single" w:color="auto" w:sz="4" w:space="0"/>
              <w:right w:val="single" w:color="auto" w:sz="4" w:space="0"/>
            </w:tcBorders>
            <w:vAlign w:val="center"/>
          </w:tcPr>
          <w:p w14:paraId="348861E1">
            <w:pPr>
              <w:spacing w:line="360" w:lineRule="auto"/>
              <w:jc w:val="center"/>
              <w:rPr>
                <w:rFonts w:hint="eastAsia" w:ascii="宋体" w:hAnsi="宋体" w:eastAsia="宋体" w:cs="宋体"/>
                <w:color w:val="000000"/>
                <w:sz w:val="24"/>
                <w:szCs w:val="24"/>
                <w:highlight w:val="none"/>
                <w:lang w:eastAsia="zh-CN"/>
              </w:rPr>
            </w:pPr>
          </w:p>
        </w:tc>
      </w:tr>
      <w:tr w14:paraId="670FDD21">
        <w:tblPrEx>
          <w:tblCellMar>
            <w:top w:w="0" w:type="dxa"/>
            <w:left w:w="108" w:type="dxa"/>
            <w:bottom w:w="0" w:type="dxa"/>
            <w:right w:w="108" w:type="dxa"/>
          </w:tblCellMar>
        </w:tblPrEx>
        <w:trPr>
          <w:trHeight w:val="887" w:hRule="atLeast"/>
        </w:trPr>
        <w:tc>
          <w:tcPr>
            <w:tcW w:w="1020" w:type="dxa"/>
            <w:tcBorders>
              <w:top w:val="single" w:color="auto" w:sz="4" w:space="0"/>
              <w:left w:val="single" w:color="000000" w:sz="4" w:space="0"/>
              <w:right w:val="single" w:color="000000" w:sz="4" w:space="0"/>
            </w:tcBorders>
            <w:vAlign w:val="center"/>
          </w:tcPr>
          <w:p w14:paraId="67528E51">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10-6</w:t>
            </w:r>
          </w:p>
        </w:tc>
        <w:tc>
          <w:tcPr>
            <w:tcW w:w="1984" w:type="dxa"/>
            <w:tcBorders>
              <w:top w:val="single" w:color="000000" w:sz="4" w:space="0"/>
              <w:left w:val="single" w:color="000000" w:sz="4" w:space="0"/>
              <w:right w:val="single" w:color="000000" w:sz="4" w:space="0"/>
            </w:tcBorders>
            <w:vAlign w:val="center"/>
          </w:tcPr>
          <w:p w14:paraId="67CFEA0F">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夏作训服（涤氨四面弹格子布）</w:t>
            </w:r>
          </w:p>
        </w:tc>
        <w:tc>
          <w:tcPr>
            <w:tcW w:w="842" w:type="dxa"/>
            <w:tcBorders>
              <w:top w:val="single" w:color="000000" w:sz="4" w:space="0"/>
              <w:left w:val="single" w:color="000000" w:sz="4" w:space="0"/>
              <w:right w:val="single" w:color="000000" w:sz="4" w:space="0"/>
            </w:tcBorders>
            <w:vAlign w:val="center"/>
          </w:tcPr>
          <w:p w14:paraId="58ADE6DD">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套</w:t>
            </w:r>
          </w:p>
        </w:tc>
        <w:tc>
          <w:tcPr>
            <w:tcW w:w="1155" w:type="dxa"/>
            <w:tcBorders>
              <w:top w:val="single" w:color="000000" w:sz="4" w:space="0"/>
              <w:left w:val="single" w:color="000000" w:sz="4" w:space="0"/>
              <w:right w:val="single" w:color="000000" w:sz="4" w:space="0"/>
            </w:tcBorders>
            <w:vAlign w:val="center"/>
          </w:tcPr>
          <w:p w14:paraId="1C7A2645">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265.00</w:t>
            </w:r>
          </w:p>
        </w:tc>
        <w:tc>
          <w:tcPr>
            <w:tcW w:w="855" w:type="dxa"/>
            <w:tcBorders>
              <w:top w:val="single" w:color="000000" w:sz="4" w:space="0"/>
              <w:left w:val="single" w:color="000000" w:sz="4" w:space="0"/>
              <w:right w:val="single" w:color="000000" w:sz="4" w:space="0"/>
            </w:tcBorders>
            <w:vAlign w:val="center"/>
          </w:tcPr>
          <w:p w14:paraId="77A42DF4">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372</w:t>
            </w:r>
          </w:p>
        </w:tc>
        <w:tc>
          <w:tcPr>
            <w:tcW w:w="1581" w:type="dxa"/>
            <w:tcBorders>
              <w:left w:val="single" w:color="000000" w:sz="4" w:space="0"/>
              <w:right w:val="single" w:color="000000" w:sz="4" w:space="0"/>
            </w:tcBorders>
            <w:vAlign w:val="center"/>
          </w:tcPr>
          <w:p w14:paraId="51101707">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bottom w:val="single" w:color="auto" w:sz="4" w:space="0"/>
              <w:right w:val="single" w:color="auto" w:sz="4" w:space="0"/>
            </w:tcBorders>
            <w:vAlign w:val="center"/>
          </w:tcPr>
          <w:p w14:paraId="44BD01F3">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3094" w:type="dxa"/>
            <w:gridSpan w:val="2"/>
            <w:tcBorders>
              <w:top w:val="single" w:color="auto" w:sz="4" w:space="0"/>
              <w:left w:val="single" w:color="auto" w:sz="4" w:space="0"/>
              <w:right w:val="single" w:color="auto" w:sz="4" w:space="0"/>
            </w:tcBorders>
            <w:vAlign w:val="center"/>
          </w:tcPr>
          <w:p w14:paraId="0EDC1CFC">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c>
          <w:tcPr>
            <w:tcW w:w="2535" w:type="dxa"/>
            <w:tcBorders>
              <w:top w:val="single" w:color="auto" w:sz="4" w:space="0"/>
              <w:left w:val="single" w:color="auto" w:sz="4" w:space="0"/>
              <w:right w:val="single" w:color="auto" w:sz="4" w:space="0"/>
            </w:tcBorders>
            <w:vAlign w:val="center"/>
          </w:tcPr>
          <w:p w14:paraId="573E93E9">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r>
      <w:tr w14:paraId="1E717A23">
        <w:tblPrEx>
          <w:tblCellMar>
            <w:top w:w="0" w:type="dxa"/>
            <w:left w:w="108" w:type="dxa"/>
            <w:bottom w:w="0" w:type="dxa"/>
            <w:right w:w="108" w:type="dxa"/>
          </w:tblCellMar>
        </w:tblPrEx>
        <w:trPr>
          <w:trHeight w:val="794"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6E7F75FD">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10-7</w:t>
            </w:r>
          </w:p>
        </w:tc>
        <w:tc>
          <w:tcPr>
            <w:tcW w:w="1984" w:type="dxa"/>
            <w:tcBorders>
              <w:top w:val="single" w:color="000000" w:sz="4" w:space="0"/>
              <w:left w:val="single" w:color="000000" w:sz="4" w:space="0"/>
              <w:bottom w:val="single" w:color="000000" w:sz="4" w:space="0"/>
              <w:right w:val="single" w:color="000000" w:sz="4" w:space="0"/>
            </w:tcBorders>
            <w:vAlign w:val="center"/>
          </w:tcPr>
          <w:p w14:paraId="479E3106">
            <w:pPr>
              <w:widowControl/>
              <w:spacing w:line="360" w:lineRule="auto"/>
              <w:jc w:val="center"/>
              <w:textAlignment w:val="center"/>
              <w:rPr>
                <w:rFonts w:hint="eastAsia" w:ascii="宋体" w:hAnsi="宋体" w:eastAsia="宋体" w:cs="宋体"/>
                <w:color w:val="000000"/>
                <w:sz w:val="24"/>
                <w:szCs w:val="24"/>
                <w:highlight w:val="none"/>
                <w:lang w:eastAsia="zh-CN" w:bidi="ar"/>
              </w:rPr>
            </w:pPr>
            <w:r>
              <w:rPr>
                <w:rFonts w:hint="eastAsia" w:ascii="宋体" w:hAnsi="宋体" w:eastAsia="宋体" w:cs="宋体"/>
                <w:color w:val="000000"/>
                <w:sz w:val="24"/>
                <w:szCs w:val="24"/>
                <w:highlight w:val="none"/>
                <w:lang w:eastAsia="zh-CN" w:bidi="ar"/>
              </w:rPr>
              <w:t>毛衣</w:t>
            </w:r>
            <w:r>
              <w:rPr>
                <w:rStyle w:val="8"/>
                <w:rFonts w:hint="eastAsia" w:ascii="宋体" w:hAnsi="宋体" w:eastAsia="宋体" w:cs="宋体"/>
                <w:sz w:val="24"/>
                <w:szCs w:val="24"/>
                <w:highlight w:val="none"/>
                <w:lang w:eastAsia="zh-CN" w:bidi="ar"/>
              </w:rPr>
              <w:t>(半高领</w:t>
            </w:r>
            <w:r>
              <w:rPr>
                <w:rFonts w:hint="eastAsia" w:ascii="宋体" w:hAnsi="宋体" w:eastAsia="宋体" w:cs="宋体"/>
                <w:color w:val="000000"/>
                <w:sz w:val="24"/>
                <w:szCs w:val="24"/>
                <w:highlight w:val="none"/>
                <w:lang w:eastAsia="zh-CN" w:bidi="ar"/>
              </w:rPr>
              <w:t>套头厚型）</w:t>
            </w:r>
          </w:p>
        </w:tc>
        <w:tc>
          <w:tcPr>
            <w:tcW w:w="842" w:type="dxa"/>
            <w:tcBorders>
              <w:top w:val="single" w:color="000000" w:sz="4" w:space="0"/>
              <w:left w:val="single" w:color="000000" w:sz="4" w:space="0"/>
              <w:bottom w:val="single" w:color="000000" w:sz="4" w:space="0"/>
              <w:right w:val="single" w:color="000000" w:sz="4" w:space="0"/>
            </w:tcBorders>
            <w:vAlign w:val="center"/>
          </w:tcPr>
          <w:p w14:paraId="2F27A996">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件</w:t>
            </w:r>
          </w:p>
        </w:tc>
        <w:tc>
          <w:tcPr>
            <w:tcW w:w="1155" w:type="dxa"/>
            <w:tcBorders>
              <w:top w:val="single" w:color="000000" w:sz="4" w:space="0"/>
              <w:left w:val="single" w:color="000000" w:sz="4" w:space="0"/>
              <w:bottom w:val="single" w:color="000000" w:sz="4" w:space="0"/>
              <w:right w:val="single" w:color="000000" w:sz="4" w:space="0"/>
            </w:tcBorders>
            <w:vAlign w:val="center"/>
          </w:tcPr>
          <w:p w14:paraId="368FD42A">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225.00</w:t>
            </w:r>
          </w:p>
        </w:tc>
        <w:tc>
          <w:tcPr>
            <w:tcW w:w="855" w:type="dxa"/>
            <w:tcBorders>
              <w:top w:val="single" w:color="000000" w:sz="4" w:space="0"/>
              <w:left w:val="single" w:color="000000" w:sz="4" w:space="0"/>
              <w:bottom w:val="single" w:color="000000" w:sz="4" w:space="0"/>
              <w:right w:val="single" w:color="000000" w:sz="4" w:space="0"/>
            </w:tcBorders>
            <w:vAlign w:val="center"/>
          </w:tcPr>
          <w:p w14:paraId="369D39A1">
            <w:pPr>
              <w:widowControl/>
              <w:spacing w:line="360" w:lineRule="auto"/>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bidi="ar"/>
              </w:rPr>
              <w:t>3055</w:t>
            </w:r>
          </w:p>
        </w:tc>
        <w:tc>
          <w:tcPr>
            <w:tcW w:w="1581" w:type="dxa"/>
            <w:tcBorders>
              <w:left w:val="single" w:color="000000" w:sz="4" w:space="0"/>
              <w:bottom w:val="single" w:color="000000" w:sz="4" w:space="0"/>
              <w:right w:val="single" w:color="000000" w:sz="4" w:space="0"/>
            </w:tcBorders>
            <w:vAlign w:val="center"/>
          </w:tcPr>
          <w:p w14:paraId="2AFD9E0F">
            <w:pPr>
              <w:spacing w:line="360" w:lineRule="auto"/>
              <w:jc w:val="center"/>
              <w:rPr>
                <w:rFonts w:hint="eastAsia" w:ascii="宋体" w:hAnsi="宋体" w:eastAsia="宋体" w:cs="宋体"/>
                <w:color w:val="000000"/>
                <w:sz w:val="24"/>
                <w:szCs w:val="24"/>
                <w:highlight w:val="none"/>
              </w:rPr>
            </w:pPr>
          </w:p>
        </w:tc>
        <w:tc>
          <w:tcPr>
            <w:tcW w:w="1024" w:type="dxa"/>
            <w:gridSpan w:val="2"/>
            <w:tcBorders>
              <w:top w:val="single" w:color="auto" w:sz="4" w:space="0"/>
              <w:left w:val="single" w:color="000000" w:sz="4" w:space="0"/>
              <w:bottom w:val="single" w:color="000000" w:sz="4" w:space="0"/>
              <w:right w:val="single" w:color="auto" w:sz="4" w:space="0"/>
            </w:tcBorders>
            <w:vAlign w:val="center"/>
          </w:tcPr>
          <w:p w14:paraId="14BF6FB9">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3094" w:type="dxa"/>
            <w:gridSpan w:val="2"/>
            <w:tcBorders>
              <w:top w:val="single" w:color="auto" w:sz="4" w:space="0"/>
              <w:left w:val="single" w:color="auto" w:sz="4" w:space="0"/>
              <w:bottom w:val="single" w:color="000000" w:sz="4" w:space="0"/>
              <w:right w:val="single" w:color="000000" w:sz="4" w:space="0"/>
            </w:tcBorders>
            <w:vAlign w:val="center"/>
          </w:tcPr>
          <w:p w14:paraId="6D528169">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c>
          <w:tcPr>
            <w:tcW w:w="2535" w:type="dxa"/>
            <w:tcBorders>
              <w:top w:val="single" w:color="auto" w:sz="4" w:space="0"/>
              <w:left w:val="single" w:color="000000" w:sz="4" w:space="0"/>
              <w:bottom w:val="single" w:color="000000" w:sz="4" w:space="0"/>
              <w:right w:val="single" w:color="auto" w:sz="4" w:space="0"/>
            </w:tcBorders>
            <w:vAlign w:val="center"/>
          </w:tcPr>
          <w:p w14:paraId="70A940DA">
            <w:pPr>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p>
        </w:tc>
      </w:tr>
    </w:tbl>
    <w:p w14:paraId="232BCBE9">
      <w:pPr>
        <w:pStyle w:val="5"/>
        <w:ind w:left="0" w:leftChars="0" w:firstLine="0" w:firstLineChars="0"/>
        <w:rPr>
          <w:rFonts w:hint="eastAsia"/>
          <w:highlight w:val="none"/>
          <w:lang w:eastAsia="zh-CN"/>
        </w:rPr>
      </w:pPr>
      <w:r>
        <w:rPr>
          <w:rFonts w:hint="eastAsia" w:ascii="宋体" w:hAnsi="宋体" w:eastAsia="宋体" w:cs="宋体"/>
          <w:sz w:val="24"/>
          <w:szCs w:val="24"/>
          <w:highlight w:val="none"/>
        </w:rPr>
        <w:br w:type="page"/>
      </w:r>
    </w:p>
    <w:p w14:paraId="11198B88">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w:t>
      </w:r>
    </w:p>
    <w:p w14:paraId="73976ACA">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（1）合同履行过程中，采购人有权根据需求对合同货物的数量和服务予以变更，投标人不得对单价或其他的条款和条件做任何改变。最终供货数量以采购人实际需求为准。</w:t>
      </w:r>
    </w:p>
    <w:p w14:paraId="07A16A04">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（2）面料、辅料及标志等全部由投标人提供，投标人须按要求从警服目录生产企业处进行购买，中标后须向采购人提供本合同项下各产品的面料、辅料及标志等供货合同副本进行</w:t>
      </w:r>
      <w:r>
        <w:rPr>
          <w:rFonts w:hint="eastAsia" w:ascii="宋体" w:hAnsi="宋体" w:eastAsia="宋体" w:cs="宋体"/>
          <w:bCs/>
          <w:color w:val="auto"/>
          <w:sz w:val="24"/>
          <w:szCs w:val="24"/>
          <w:highlight w:val="none"/>
          <w:lang w:eastAsia="zh-CN"/>
        </w:rPr>
        <w:t>备案，投标人须对面料、辅料及标志等质量负责。采购人在中标结果确认后有权对所对应分包中所有品目包含面料、辅料及标志等进行质量检测</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并对投标人的厂房、生产设备、工艺流程等进行驻场检查</w:t>
      </w:r>
      <w:r>
        <w:rPr>
          <w:rFonts w:hint="eastAsia" w:ascii="宋体" w:hAnsi="宋体" w:eastAsia="宋体" w:cs="宋体"/>
          <w:bCs/>
          <w:color w:val="auto"/>
          <w:sz w:val="24"/>
          <w:szCs w:val="24"/>
          <w:highlight w:val="none"/>
          <w:lang w:eastAsia="zh-CN"/>
        </w:rPr>
        <w:t>；货物正式投入生产前，采购人有权进行样品确认、小范围试穿及检测；货物生产时，采购人有权对首件下线产品进行检测；大货</w:t>
      </w:r>
      <w:r>
        <w:rPr>
          <w:rFonts w:hint="eastAsia" w:ascii="宋体" w:hAnsi="宋体" w:cs="宋体"/>
          <w:bCs/>
          <w:color w:val="auto"/>
          <w:sz w:val="24"/>
          <w:szCs w:val="24"/>
          <w:highlight w:val="none"/>
          <w:lang w:eastAsia="zh-CN"/>
        </w:rPr>
        <w:t>（合同内品种）</w:t>
      </w:r>
      <w:r>
        <w:rPr>
          <w:rFonts w:hint="eastAsia" w:ascii="宋体" w:hAnsi="宋体" w:eastAsia="宋体" w:cs="宋体"/>
          <w:bCs/>
          <w:color w:val="auto"/>
          <w:sz w:val="24"/>
          <w:szCs w:val="24"/>
          <w:highlight w:val="none"/>
          <w:lang w:eastAsia="zh-CN"/>
        </w:rPr>
        <w:t>生产完毕后，采购人有权对整批货服装进行交收检验；到货后，采购人有权对货物进行随机抽检。所有检测费用由</w:t>
      </w:r>
      <w:r>
        <w:rPr>
          <w:rFonts w:hint="eastAsia" w:ascii="宋体" w:hAnsi="宋体" w:eastAsia="宋体" w:cs="宋体"/>
          <w:bCs/>
          <w:sz w:val="24"/>
          <w:szCs w:val="24"/>
          <w:lang w:eastAsia="zh-CN"/>
        </w:rPr>
        <w:t>中标人自行承担，同时，中标人应及时补齐货物数量。</w:t>
      </w:r>
    </w:p>
    <w:p w14:paraId="227B9F10">
      <w:pPr>
        <w:spacing w:line="360" w:lineRule="auto"/>
        <w:ind w:firstLine="480" w:firstLineChars="200"/>
        <w:contextualSpacing/>
        <w:rPr>
          <w:rFonts w:hint="eastAsia" w:ascii="宋体" w:hAnsi="宋体" w:eastAsia="宋体" w:cs="宋体"/>
          <w:b w:val="0"/>
          <w:bCs/>
          <w:sz w:val="24"/>
          <w:szCs w:val="24"/>
          <w:u w:val="none"/>
          <w:lang w:eastAsia="zh-CN"/>
        </w:rPr>
      </w:pPr>
      <w:r>
        <w:rPr>
          <w:rFonts w:hint="eastAsia" w:ascii="宋体" w:hAnsi="宋体" w:eastAsia="宋体" w:cs="宋体"/>
          <w:bCs/>
          <w:sz w:val="24"/>
          <w:szCs w:val="24"/>
          <w:lang w:val="en-US" w:eastAsia="zh-CN"/>
        </w:rPr>
        <w:t>(3)上表中“检测内容”</w:t>
      </w:r>
      <w:r>
        <w:rPr>
          <w:rFonts w:hint="eastAsia" w:ascii="宋体" w:hAnsi="宋体" w:eastAsia="宋体" w:cs="宋体"/>
          <w:b w:val="0"/>
          <w:bCs/>
          <w:sz w:val="24"/>
          <w:szCs w:val="24"/>
          <w:u w:val="none"/>
          <w:lang w:val="en-US" w:eastAsia="zh-CN"/>
        </w:rPr>
        <w:t>中“标识”“产品标志”项只针对“递交</w:t>
      </w:r>
      <w:r>
        <w:rPr>
          <w:rFonts w:hint="eastAsia" w:ascii="宋体" w:hAnsi="宋体" w:eastAsia="宋体" w:cs="宋体"/>
          <w:b w:val="0"/>
          <w:bCs/>
          <w:sz w:val="24"/>
          <w:szCs w:val="24"/>
          <w:u w:val="none"/>
          <w:lang w:eastAsia="zh-CN"/>
        </w:rPr>
        <w:t>样品不应有任何体现企业信息的文字、标识等进行判定”。</w:t>
      </w:r>
    </w:p>
    <w:p w14:paraId="5AF0D3DB">
      <w:pPr>
        <w:spacing w:line="360" w:lineRule="auto"/>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2. 项目背景/项目概述</w:t>
      </w:r>
    </w:p>
    <w:p w14:paraId="4D431F09">
      <w:pPr>
        <w:spacing w:line="360" w:lineRule="auto"/>
        <w:ind w:firstLine="482"/>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围绕采购人2026年工作安排，以全局民警换发新式警服为基础，结合新招录民警、警院学员、晋升高警等着装需求，开展本项目采购，共计72个服装品种109.1734万件套。</w:t>
      </w:r>
    </w:p>
    <w:p w14:paraId="6524432C">
      <w:pPr>
        <w:pStyle w:val="9"/>
        <w:spacing w:line="360" w:lineRule="auto"/>
        <w:ind w:firstLine="0" w:firstLineChars="0"/>
        <w:contextualSpacing/>
        <w:rPr>
          <w:rFonts w:hint="eastAsia" w:ascii="宋体" w:hAnsi="宋体" w:eastAsia="宋体" w:cs="宋体"/>
          <w:b/>
          <w:sz w:val="24"/>
          <w:szCs w:val="24"/>
        </w:rPr>
        <w:sectPr>
          <w:pgSz w:w="16840" w:h="11907" w:orient="landscape"/>
          <w:pgMar w:top="1797" w:right="1440" w:bottom="1797" w:left="1440" w:header="851" w:footer="851" w:gutter="0"/>
          <w:cols w:space="0" w:num="1"/>
          <w:docGrid w:linePitch="462" w:charSpace="0"/>
        </w:sectPr>
      </w:pPr>
    </w:p>
    <w:p w14:paraId="32D8F9C4">
      <w:pPr>
        <w:pStyle w:val="9"/>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二、商务要求</w:t>
      </w:r>
    </w:p>
    <w:p w14:paraId="555772B6">
      <w:pPr>
        <w:spacing w:line="360" w:lineRule="auto"/>
        <w:contextualSpacing/>
        <w:outlineLvl w:val="2"/>
        <w:rPr>
          <w:rFonts w:hint="eastAsia" w:ascii="宋体" w:hAnsi="宋体" w:eastAsia="宋体" w:cs="宋体"/>
          <w:i/>
          <w:sz w:val="24"/>
          <w:szCs w:val="24"/>
          <w:lang w:eastAsia="zh-CN"/>
        </w:rPr>
      </w:pPr>
      <w:r>
        <w:rPr>
          <w:rFonts w:hint="eastAsia" w:ascii="宋体" w:hAnsi="宋体" w:eastAsia="宋体" w:cs="宋体"/>
          <w:sz w:val="24"/>
          <w:szCs w:val="24"/>
          <w:lang w:eastAsia="zh-CN"/>
        </w:rPr>
        <w:t>1. 交付（实施）的时间（期限）和地点（范围）</w:t>
      </w:r>
    </w:p>
    <w:p w14:paraId="63725873">
      <w:pPr>
        <w:spacing w:line="360" w:lineRule="auto"/>
        <w:ind w:firstLine="480" w:firstLineChars="20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合同签订后30个日历日</w:t>
      </w:r>
      <w:r>
        <w:rPr>
          <w:rFonts w:hint="eastAsia" w:ascii="宋体" w:hAnsi="宋体" w:eastAsia="宋体" w:cs="宋体"/>
          <w:sz w:val="24"/>
          <w:szCs w:val="24"/>
          <w:highlight w:val="none"/>
          <w:lang w:eastAsia="zh-CN"/>
        </w:rPr>
        <w:t>内，新警</w:t>
      </w:r>
      <w:r>
        <w:rPr>
          <w:rFonts w:hint="eastAsia" w:ascii="宋体" w:hAnsi="宋体" w:cs="宋体"/>
          <w:sz w:val="24"/>
          <w:szCs w:val="24"/>
          <w:highlight w:val="none"/>
          <w:lang w:eastAsia="zh-CN"/>
        </w:rPr>
        <w:t>（新入职）</w:t>
      </w:r>
      <w:r>
        <w:rPr>
          <w:rFonts w:hint="eastAsia" w:ascii="宋体" w:hAnsi="宋体" w:eastAsia="宋体" w:cs="宋体"/>
          <w:sz w:val="24"/>
          <w:szCs w:val="24"/>
          <w:highlight w:val="none"/>
          <w:lang w:eastAsia="zh-CN"/>
        </w:rPr>
        <w:t>批次量体后25个日历日内交货至采购人指定地点。</w:t>
      </w:r>
    </w:p>
    <w:p w14:paraId="6F032236">
      <w:pPr>
        <w:spacing w:line="360" w:lineRule="auto"/>
        <w:contextualSpacing/>
        <w:outlineLvl w:val="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 付款条件（进度和方式）</w:t>
      </w:r>
    </w:p>
    <w:p w14:paraId="7A6ADC9F">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（1）付款进度和条件：</w:t>
      </w:r>
    </w:p>
    <w:p w14:paraId="57D61063">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① 合同签订后 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支付</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合同总价50％的价款；</w:t>
      </w:r>
    </w:p>
    <w:p w14:paraId="6106DC48">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②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w:t>
      </w:r>
      <w:r>
        <w:rPr>
          <w:rFonts w:hint="eastAsia" w:cs="宋体"/>
          <w:sz w:val="24"/>
          <w:szCs w:val="24"/>
          <w:highlight w:val="none"/>
          <w:lang w:eastAsia="zh-CN"/>
        </w:rPr>
        <w:t>换发</w:t>
      </w:r>
      <w:r>
        <w:rPr>
          <w:rFonts w:hint="eastAsia" w:ascii="宋体" w:hAnsi="宋体" w:eastAsia="宋体" w:cs="宋体"/>
          <w:sz w:val="24"/>
          <w:szCs w:val="24"/>
          <w:highlight w:val="none"/>
          <w:lang w:eastAsia="zh-CN"/>
        </w:rPr>
        <w:t>批次货物并验收合格后30 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支付按需批次货物金额50%尾款；</w:t>
      </w:r>
    </w:p>
    <w:p w14:paraId="33E13FA9">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③ </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收到新警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批次货物并验收合格，且</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提供开户银行开具的本合同总金额5％的履约保函正本后30个日历日内，</w:t>
      </w:r>
      <w:r>
        <w:rPr>
          <w:rFonts w:hint="eastAsia" w:cs="宋体"/>
          <w:sz w:val="24"/>
          <w:szCs w:val="24"/>
          <w:highlight w:val="none"/>
          <w:lang w:eastAsia="zh-CN"/>
        </w:rPr>
        <w:t>采购人</w:t>
      </w:r>
      <w:r>
        <w:rPr>
          <w:rFonts w:hint="eastAsia" w:ascii="宋体" w:hAnsi="宋体" w:eastAsia="宋体" w:cs="宋体"/>
          <w:sz w:val="24"/>
          <w:szCs w:val="24"/>
          <w:highlight w:val="none"/>
          <w:lang w:eastAsia="zh-CN"/>
        </w:rPr>
        <w:t>向</w:t>
      </w:r>
      <w:r>
        <w:rPr>
          <w:rFonts w:hint="eastAsia" w:cs="宋体"/>
          <w:sz w:val="24"/>
          <w:szCs w:val="24"/>
          <w:highlight w:val="none"/>
          <w:lang w:eastAsia="zh-CN"/>
        </w:rPr>
        <w:t>中标人</w:t>
      </w:r>
      <w:r>
        <w:rPr>
          <w:rFonts w:hint="eastAsia" w:ascii="宋体" w:hAnsi="宋体" w:eastAsia="宋体" w:cs="宋体"/>
          <w:sz w:val="24"/>
          <w:szCs w:val="24"/>
          <w:highlight w:val="none"/>
          <w:lang w:eastAsia="zh-CN"/>
        </w:rPr>
        <w:t>支付新警</w:t>
      </w:r>
      <w:r>
        <w:rPr>
          <w:rFonts w:hint="eastAsia" w:cs="宋体"/>
          <w:sz w:val="24"/>
          <w:szCs w:val="24"/>
          <w:highlight w:val="none"/>
          <w:lang w:eastAsia="zh-CN"/>
        </w:rPr>
        <w:t>（新入职）</w:t>
      </w:r>
      <w:r>
        <w:rPr>
          <w:rFonts w:hint="eastAsia" w:ascii="宋体" w:hAnsi="宋体" w:eastAsia="宋体" w:cs="宋体"/>
          <w:sz w:val="24"/>
          <w:szCs w:val="24"/>
          <w:highlight w:val="none"/>
          <w:lang w:eastAsia="zh-CN"/>
        </w:rPr>
        <w:t>批次货物金额50%尾款。</w:t>
      </w:r>
    </w:p>
    <w:p w14:paraId="101054ED">
      <w:pPr>
        <w:pStyle w:val="4"/>
        <w:adjustRightInd w:val="0"/>
        <w:snapToGrid w:val="0"/>
        <w:spacing w:before="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（2）结算付款方式：转账。</w:t>
      </w:r>
    </w:p>
    <w:p w14:paraId="0AA7B80D">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3. 包装和运输（须满足《关于印发〈商品包装政府采购需求标准（试行）〉、〈快递包装政府采购需求标准（试行）〉的通知》（财办库﹝2020﹞123号））</w:t>
      </w:r>
    </w:p>
    <w:p w14:paraId="2C506266">
      <w:pPr>
        <w:spacing w:line="360" w:lineRule="auto"/>
        <w:ind w:firstLine="480" w:firstLineChars="200"/>
        <w:rPr>
          <w:rFonts w:hint="eastAsia" w:ascii="宋体" w:hAnsi="宋体" w:eastAsia="宋体" w:cs="宋体"/>
          <w:b/>
          <w:sz w:val="24"/>
          <w:szCs w:val="24"/>
          <w:highlight w:val="none"/>
          <w:lang w:eastAsia="zh-CN"/>
        </w:rPr>
      </w:pPr>
      <w:r>
        <w:rPr>
          <w:rFonts w:hint="eastAsia" w:ascii="宋体" w:hAnsi="宋体" w:eastAsia="宋体" w:cs="宋体"/>
          <w:bCs/>
          <w:sz w:val="24"/>
          <w:szCs w:val="24"/>
          <w:lang w:eastAsia="zh-CN"/>
        </w:rPr>
        <w:t>（1）须满足</w:t>
      </w:r>
      <w:r>
        <w:rPr>
          <w:rFonts w:hint="eastAsia" w:ascii="宋体" w:hAnsi="宋体" w:eastAsia="宋体" w:cs="宋体"/>
          <w:bCs/>
          <w:sz w:val="24"/>
          <w:szCs w:val="24"/>
          <w:highlight w:val="none"/>
          <w:lang w:eastAsia="zh-CN"/>
        </w:rPr>
        <w:t>《关于印发〈商品包装政府采购需求标准（试行）〉、〈快递包装政府采购需求标准（试行）〉的通知》（财办库﹝2020﹞123号。</w:t>
      </w:r>
    </w:p>
    <w:p w14:paraId="30E90E1B">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（2）大货</w:t>
      </w:r>
      <w:r>
        <w:rPr>
          <w:rFonts w:hint="eastAsia" w:ascii="宋体" w:hAnsi="宋体" w:cs="宋体"/>
          <w:bCs/>
          <w:sz w:val="24"/>
          <w:szCs w:val="24"/>
          <w:highlight w:val="none"/>
          <w:lang w:eastAsia="zh-CN"/>
        </w:rPr>
        <w:t>（合同内品种）</w:t>
      </w:r>
      <w:r>
        <w:rPr>
          <w:rFonts w:hint="eastAsia" w:ascii="宋体" w:hAnsi="宋体" w:eastAsia="宋体" w:cs="宋体"/>
          <w:bCs/>
          <w:sz w:val="24"/>
          <w:szCs w:val="24"/>
          <w:highlight w:val="none"/>
          <w:lang w:eastAsia="zh-CN"/>
        </w:rPr>
        <w:t>生产时按采购人要求在每件产品上印制产品信息数据码（二维码或条形码等）。</w:t>
      </w:r>
    </w:p>
    <w:p w14:paraId="5F21B38A">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（3）运输时须按采购人要求送至指定地点（涉及收货地址较多且分散</w:t>
      </w:r>
      <w:r>
        <w:rPr>
          <w:rFonts w:hint="eastAsia" w:ascii="宋体" w:hAnsi="宋体" w:cs="宋体"/>
          <w:bCs/>
          <w:sz w:val="24"/>
          <w:szCs w:val="24"/>
          <w:lang w:val="en-US" w:eastAsia="zh-CN"/>
        </w:rPr>
        <w:t>在北京市全域内，</w:t>
      </w:r>
      <w:r>
        <w:rPr>
          <w:rFonts w:hint="eastAsia" w:ascii="宋体" w:hAnsi="宋体" w:eastAsia="宋体" w:cs="宋体"/>
          <w:bCs/>
          <w:sz w:val="24"/>
          <w:szCs w:val="24"/>
          <w:lang w:eastAsia="zh-CN"/>
        </w:rPr>
        <w:t>约</w:t>
      </w:r>
      <w:r>
        <w:rPr>
          <w:rFonts w:hint="eastAsia" w:ascii="宋体" w:hAnsi="宋体" w:eastAsia="宋体" w:cs="宋体"/>
          <w:bCs/>
          <w:sz w:val="24"/>
          <w:szCs w:val="24"/>
          <w:lang w:val="en-US" w:eastAsia="zh-CN"/>
        </w:rPr>
        <w:t>850</w:t>
      </w:r>
      <w:r>
        <w:rPr>
          <w:rFonts w:hint="eastAsia" w:ascii="宋体" w:hAnsi="宋体" w:eastAsia="宋体" w:cs="宋体"/>
          <w:bCs/>
          <w:sz w:val="24"/>
          <w:szCs w:val="24"/>
          <w:lang w:eastAsia="zh-CN"/>
        </w:rPr>
        <w:t>个，具体到科所队），所有运输费用</w:t>
      </w:r>
      <w:r>
        <w:rPr>
          <w:rFonts w:hint="eastAsia" w:ascii="宋体" w:hAnsi="宋体" w:cs="宋体"/>
          <w:bCs/>
          <w:sz w:val="24"/>
          <w:szCs w:val="24"/>
          <w:lang w:val="en-US" w:eastAsia="zh-CN"/>
        </w:rPr>
        <w:t>包含在投标报价中</w:t>
      </w:r>
      <w:r>
        <w:rPr>
          <w:rFonts w:hint="eastAsia" w:ascii="宋体" w:hAnsi="宋体" w:eastAsia="宋体" w:cs="宋体"/>
          <w:bCs/>
          <w:sz w:val="24"/>
          <w:szCs w:val="24"/>
          <w:lang w:eastAsia="zh-CN"/>
        </w:rPr>
        <w:t>。</w:t>
      </w:r>
    </w:p>
    <w:p w14:paraId="36396A56">
      <w:pPr>
        <w:spacing w:line="360" w:lineRule="auto"/>
        <w:ind w:firstLine="480" w:firstLineChars="200"/>
        <w:contextualSpacing/>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注：投标人须针对上述内容提供承诺书。</w:t>
      </w:r>
    </w:p>
    <w:p w14:paraId="1B465DFE">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4. 售后服务（质保期）</w:t>
      </w:r>
    </w:p>
    <w:p w14:paraId="55D21266">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（1）质保期：质保期3年，质保期从货物验收合格之日起开始计算。</w:t>
      </w:r>
    </w:p>
    <w:p w14:paraId="5991108F">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（2）投标人应具有完善的服务保障体系。</w:t>
      </w:r>
    </w:p>
    <w:p w14:paraId="3ECEDEF9">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highlight w:val="none"/>
          <w:lang w:eastAsia="zh-CN"/>
        </w:rPr>
        <w:t>（3）投标人需承诺如北京市公安局</w:t>
      </w:r>
      <w:r>
        <w:rPr>
          <w:rFonts w:hint="eastAsia" w:ascii="宋体" w:hAnsi="宋体" w:cs="宋体"/>
          <w:bCs/>
          <w:sz w:val="24"/>
          <w:szCs w:val="24"/>
          <w:highlight w:val="none"/>
          <w:lang w:eastAsia="zh-CN"/>
        </w:rPr>
        <w:t>在合同期内</w:t>
      </w:r>
      <w:r>
        <w:rPr>
          <w:rFonts w:hint="eastAsia" w:ascii="宋体" w:hAnsi="宋体" w:eastAsia="宋体" w:cs="宋体"/>
          <w:bCs/>
          <w:sz w:val="24"/>
          <w:szCs w:val="24"/>
          <w:highlight w:val="none"/>
          <w:lang w:eastAsia="zh-CN"/>
        </w:rPr>
        <w:t>有紧急警服保障任务，根据保</w:t>
      </w:r>
      <w:r>
        <w:rPr>
          <w:rFonts w:hint="eastAsia" w:ascii="宋体" w:hAnsi="宋体" w:eastAsia="宋体" w:cs="宋体"/>
          <w:bCs/>
          <w:sz w:val="24"/>
          <w:szCs w:val="24"/>
          <w:lang w:eastAsia="zh-CN"/>
        </w:rPr>
        <w:t>障需求在规定时间内供货。</w:t>
      </w:r>
    </w:p>
    <w:p w14:paraId="147CF74F">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1）供货组织方案</w:t>
      </w:r>
    </w:p>
    <w:p w14:paraId="7D41F277">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 xml:space="preserve">功能、应用场景、目标：投标人应制定合理可行的供货组织方案，通过优化组织程序，提高工作效率、加强进度控制保障等多种手段，确保项目能按期完成。 </w:t>
      </w:r>
    </w:p>
    <w:p w14:paraId="4A6F91BE">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2）售后服务解决方案</w:t>
      </w:r>
    </w:p>
    <w:p w14:paraId="0D7119A5">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应制定合理完善的售后服务解决方案，按照国家有关要求及本项目实际情况，最大限度的保证本项目所购产品的售后保障。</w:t>
      </w:r>
    </w:p>
    <w:p w14:paraId="580B3091">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3）应急服务解决方案</w:t>
      </w:r>
    </w:p>
    <w:p w14:paraId="2D9023F4">
      <w:pPr>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投标人</w:t>
      </w:r>
      <w:r>
        <w:rPr>
          <w:rFonts w:hint="eastAsia" w:ascii="宋体" w:hAnsi="宋体" w:eastAsia="宋体" w:cs="宋体"/>
          <w:bCs/>
          <w:sz w:val="24"/>
          <w:szCs w:val="24"/>
          <w:lang w:eastAsia="zh-CN"/>
        </w:rPr>
        <w:t>能够针对各类紧急、突发情况提供解决方案，妥善处理各种应急情况。</w:t>
      </w:r>
    </w:p>
    <w:p w14:paraId="4BA7ACD1">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（3）投标人需承诺如北京市公安局</w:t>
      </w:r>
      <w:r>
        <w:rPr>
          <w:rFonts w:hint="eastAsia" w:ascii="宋体" w:hAnsi="宋体" w:cs="宋体"/>
          <w:bCs/>
          <w:sz w:val="24"/>
          <w:szCs w:val="24"/>
          <w:lang w:eastAsia="zh-CN"/>
        </w:rPr>
        <w:t>在合同期内</w:t>
      </w:r>
      <w:r>
        <w:rPr>
          <w:rFonts w:hint="eastAsia" w:ascii="宋体" w:hAnsi="宋体" w:eastAsia="宋体" w:cs="宋体"/>
          <w:bCs/>
          <w:sz w:val="24"/>
          <w:szCs w:val="24"/>
          <w:lang w:eastAsia="zh-CN"/>
        </w:rPr>
        <w:t>有紧急服装保障任务，根据保障需求在规定时间内供货。注：投标人须针对上述内容提供承诺书。</w:t>
      </w:r>
    </w:p>
    <w:p w14:paraId="09632A92">
      <w:pPr>
        <w:spacing w:line="360" w:lineRule="auto"/>
        <w:contextualSpacing/>
        <w:outlineLvl w:val="2"/>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★5. 面料供货保障承诺</w:t>
      </w:r>
    </w:p>
    <w:p w14:paraId="05981EC4">
      <w:pPr>
        <w:spacing w:line="360" w:lineRule="auto"/>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投标人须承诺在收到中标通知书后3个日历日内，完成对应采购包全部品目的面料及絮片（如涉及）等的储备。注：投标人须针对上述内容提供</w:t>
      </w:r>
      <w:r>
        <w:rPr>
          <w:rFonts w:hint="eastAsia" w:ascii="宋体" w:hAnsi="宋体" w:cs="宋体"/>
          <w:b/>
          <w:bCs w:val="0"/>
          <w:sz w:val="24"/>
          <w:szCs w:val="24"/>
          <w:lang w:val="en-US" w:eastAsia="zh-CN"/>
        </w:rPr>
        <w:t>加盖投标人公章的</w:t>
      </w:r>
      <w:r>
        <w:rPr>
          <w:rFonts w:hint="eastAsia" w:ascii="宋体" w:hAnsi="宋体" w:eastAsia="宋体" w:cs="宋体"/>
          <w:b/>
          <w:bCs w:val="0"/>
          <w:sz w:val="24"/>
          <w:szCs w:val="24"/>
          <w:lang w:eastAsia="zh-CN"/>
        </w:rPr>
        <w:t>承诺书</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否则作无效投标处理</w:t>
      </w:r>
      <w:r>
        <w:rPr>
          <w:rFonts w:hint="eastAsia" w:ascii="宋体" w:hAnsi="宋体" w:eastAsia="宋体" w:cs="宋体"/>
          <w:b/>
          <w:bCs w:val="0"/>
          <w:sz w:val="24"/>
          <w:szCs w:val="24"/>
          <w:lang w:eastAsia="zh-CN"/>
        </w:rPr>
        <w:t>。</w:t>
      </w:r>
    </w:p>
    <w:p w14:paraId="6E4937D4">
      <w:pPr>
        <w:spacing w:line="360" w:lineRule="auto"/>
        <w:ind w:firstLine="0" w:firstLineChars="0"/>
        <w:rPr>
          <w:rFonts w:hint="eastAsia" w:ascii="宋体" w:hAnsi="宋体" w:cs="宋体"/>
          <w:b/>
          <w:sz w:val="24"/>
          <w:szCs w:val="24"/>
          <w:lang w:val="en-US" w:eastAsia="zh-CN"/>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6.</w:t>
      </w:r>
      <w:r>
        <w:rPr>
          <w:rFonts w:hint="eastAsia" w:ascii="宋体" w:hAnsi="宋体" w:cs="宋体"/>
          <w:b/>
          <w:sz w:val="24"/>
          <w:szCs w:val="24"/>
          <w:lang w:val="en-US" w:eastAsia="zh-CN"/>
        </w:rPr>
        <w:t>投标人须按照招标文件第七章投标文件格式提供“</w:t>
      </w:r>
      <w:r>
        <w:rPr>
          <w:rFonts w:hint="eastAsia" w:ascii="宋体" w:hAnsi="宋体" w:cs="宋体"/>
          <w:b/>
          <w:sz w:val="24"/>
        </w:rPr>
        <w:t>北京市公安局供应商不良行为记录告知书</w:t>
      </w:r>
      <w:r>
        <w:rPr>
          <w:rFonts w:hint="eastAsia" w:ascii="宋体" w:hAnsi="宋体" w:cs="宋体"/>
          <w:b/>
          <w:sz w:val="24"/>
          <w:lang w:eastAsia="zh-CN"/>
        </w:rPr>
        <w:t>”</w:t>
      </w:r>
      <w:r>
        <w:rPr>
          <w:rFonts w:hint="eastAsia" w:ascii="宋体" w:hAnsi="宋体" w:cs="宋体"/>
          <w:b/>
          <w:sz w:val="24"/>
          <w:szCs w:val="24"/>
          <w:lang w:val="en-US" w:eastAsia="zh-CN"/>
        </w:rPr>
        <w:t>，否则作无效投标处理。</w:t>
      </w:r>
    </w:p>
    <w:p w14:paraId="51D94EEE">
      <w:pPr>
        <w:pStyle w:val="9"/>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三、技术要求</w:t>
      </w:r>
    </w:p>
    <w:p w14:paraId="25D7FAA2">
      <w:pPr>
        <w:spacing w:line="360" w:lineRule="auto"/>
        <w:contextualSpacing/>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1. 基本要求</w:t>
      </w:r>
    </w:p>
    <w:p w14:paraId="3301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1.1 采购标的需实现的功能或者目标</w:t>
      </w:r>
    </w:p>
    <w:p w14:paraId="7C0DB01F">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体现我局民警良好精神风貌，支撑执勤执法实战需求。</w:t>
      </w:r>
    </w:p>
    <w:p w14:paraId="68F5261C">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1.2 需执行的国家相关标准、行业标准、地方标准或者其他标准、规范</w:t>
      </w:r>
    </w:p>
    <w:p w14:paraId="19F0FFF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包括但不限于达到国家、北京市相关的标准、规范。</w:t>
      </w:r>
    </w:p>
    <w:p w14:paraId="45313FBB">
      <w:pPr>
        <w:adjustRightInd w:val="0"/>
        <w:snapToGrid w:val="0"/>
        <w:spacing w:line="360" w:lineRule="auto"/>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 服务内容及要求/货物技术要求</w:t>
      </w:r>
    </w:p>
    <w:p w14:paraId="3A247EDD">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2.1相关标准按照《2025式人民警察制式服装系列品种技术标准（草案）》（含后续修订版本）执行。</w:t>
      </w:r>
    </w:p>
    <w:p w14:paraId="32BF2A1B">
      <w:pPr>
        <w:pStyle w:val="3"/>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t xml:space="preserve">2.2  </w:t>
      </w:r>
      <w:r>
        <w:rPr>
          <w:rFonts w:hint="eastAsia" w:ascii="宋体" w:hAnsi="宋体" w:eastAsia="宋体" w:cs="宋体"/>
          <w:sz w:val="24"/>
          <w:szCs w:val="24"/>
          <w:lang w:eastAsia="zh-CN"/>
        </w:rPr>
        <w:t>交收产品的检验结果不得低于中标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投标时提交的样品。交收产品检验低于合同约定的，采购人有权解除合同，或通知中标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重新备货并加倍抽检合格后才能供货；重新备货的，若再次出现与合同约定不符，终止合同并按照有关规定及合同条款处理。</w:t>
      </w:r>
    </w:p>
    <w:p w14:paraId="0AD23A8E">
      <w:pPr>
        <w:pStyle w:val="3"/>
        <w:spacing w:line="360" w:lineRule="auto"/>
        <w:ind w:firstLine="482" w:firstLineChars="200"/>
        <w:rPr>
          <w:rFonts w:hint="eastAsia" w:ascii="宋体" w:hAnsi="宋体" w:eastAsia="宋体" w:cstheme="majorEastAsia"/>
          <w:b/>
          <w:bCs/>
          <w:sz w:val="24"/>
          <w:szCs w:val="24"/>
          <w:highlight w:val="none"/>
        </w:rPr>
      </w:pPr>
      <w:r>
        <w:rPr>
          <w:rFonts w:hint="eastAsia" w:ascii="宋体" w:hAnsi="宋体" w:eastAsia="宋体" w:cstheme="majorEastAsia"/>
          <w:b/>
          <w:bCs/>
          <w:sz w:val="24"/>
          <w:szCs w:val="24"/>
          <w:highlight w:val="none"/>
        </w:rPr>
        <w:t>2.</w:t>
      </w:r>
      <w:r>
        <w:rPr>
          <w:rFonts w:hint="eastAsia" w:ascii="宋体" w:hAnsi="宋体" w:eastAsia="宋体" w:cstheme="majorEastAsia"/>
          <w:b/>
          <w:bCs/>
          <w:sz w:val="24"/>
          <w:szCs w:val="24"/>
          <w:highlight w:val="none"/>
          <w:lang w:val="en-US" w:eastAsia="zh-CN"/>
        </w:rPr>
        <w:t>3</w:t>
      </w:r>
      <w:r>
        <w:rPr>
          <w:rFonts w:hint="eastAsia" w:ascii="宋体" w:hAnsi="宋体" w:eastAsia="宋体" w:cstheme="majorEastAsia"/>
          <w:b/>
          <w:bCs/>
          <w:sz w:val="24"/>
          <w:szCs w:val="24"/>
          <w:highlight w:val="none"/>
        </w:rPr>
        <w:t>第10包（仅适用于第10包）：</w:t>
      </w:r>
    </w:p>
    <w:p w14:paraId="47061E09">
      <w:pPr>
        <w:adjustRightInd w:val="0"/>
        <w:snapToGrid w:val="0"/>
        <w:spacing w:line="360" w:lineRule="auto"/>
        <w:ind w:firstLine="482" w:firstLineChars="200"/>
        <w:rPr>
          <w:rFonts w:hint="eastAsia" w:ascii="宋体" w:hAnsi="宋体" w:eastAsia="宋体"/>
          <w:sz w:val="24"/>
          <w:szCs w:val="24"/>
          <w:highlight w:val="none"/>
          <w:lang w:eastAsia="zh-CN"/>
        </w:rPr>
      </w:pPr>
      <w:r>
        <w:rPr>
          <w:rFonts w:hint="eastAsia" w:ascii="宋体" w:hAnsi="宋体" w:eastAsia="宋体" w:cstheme="majorEastAsia"/>
          <w:b/>
          <w:bCs/>
          <w:sz w:val="24"/>
          <w:szCs w:val="24"/>
          <w:highlight w:val="none"/>
          <w:lang w:eastAsia="zh-CN"/>
        </w:rPr>
        <w:t>★（1）</w:t>
      </w:r>
      <w:r>
        <w:rPr>
          <w:rFonts w:hint="eastAsia" w:ascii="宋体" w:hAnsi="宋体" w:eastAsia="宋体"/>
          <w:sz w:val="24"/>
          <w:szCs w:val="24"/>
          <w:highlight w:val="none"/>
          <w:lang w:eastAsia="zh-CN"/>
        </w:rPr>
        <w:t>投标人需承诺所提供的产品中，生产“毛衣</w:t>
      </w:r>
      <w:r>
        <w:rPr>
          <w:rFonts w:ascii="宋体" w:hAnsi="宋体" w:eastAsia="宋体"/>
          <w:sz w:val="24"/>
          <w:szCs w:val="24"/>
          <w:highlight w:val="none"/>
          <w:lang w:eastAsia="zh-CN"/>
        </w:rPr>
        <w:t>(</w:t>
      </w:r>
      <w:r>
        <w:rPr>
          <w:rFonts w:hint="eastAsia" w:ascii="宋体" w:hAnsi="宋体"/>
          <w:sz w:val="24"/>
          <w:szCs w:val="24"/>
          <w:highlight w:val="none"/>
          <w:lang w:eastAsia="zh-CN"/>
        </w:rPr>
        <w:t>半高领</w:t>
      </w:r>
      <w:r>
        <w:rPr>
          <w:rFonts w:hint="eastAsia" w:ascii="宋体" w:hAnsi="宋体" w:eastAsia="宋体"/>
          <w:sz w:val="24"/>
          <w:szCs w:val="24"/>
          <w:highlight w:val="none"/>
          <w:lang w:eastAsia="zh-CN"/>
        </w:rPr>
        <w:t>套头厚</w:t>
      </w:r>
      <w:r>
        <w:rPr>
          <w:rFonts w:hint="eastAsia" w:ascii="宋体" w:hAnsi="宋体" w:cs="宋体"/>
          <w:color w:val="000000"/>
          <w:sz w:val="21"/>
          <w:szCs w:val="21"/>
          <w:highlight w:val="none"/>
          <w:lang w:eastAsia="zh-CN" w:bidi="ar"/>
        </w:rPr>
        <w:t>型</w:t>
      </w:r>
      <w:r>
        <w:rPr>
          <w:rFonts w:hint="eastAsia" w:ascii="宋体" w:hAnsi="宋体" w:eastAsia="宋体"/>
          <w:sz w:val="24"/>
          <w:szCs w:val="24"/>
          <w:highlight w:val="none"/>
          <w:lang w:eastAsia="zh-CN"/>
        </w:rPr>
        <w:t>）”的制造商须为公安部颁布的《人民警察服装生产企业目录（</w:t>
      </w:r>
      <w:r>
        <w:rPr>
          <w:rFonts w:ascii="宋体" w:hAnsi="宋体" w:eastAsia="宋体"/>
          <w:sz w:val="24"/>
          <w:szCs w:val="24"/>
          <w:highlight w:val="none"/>
          <w:lang w:eastAsia="zh-CN"/>
        </w:rPr>
        <w:t xml:space="preserve">2025 </w:t>
      </w:r>
      <w:r>
        <w:rPr>
          <w:rFonts w:hint="eastAsia" w:ascii="宋体" w:hAnsi="宋体" w:eastAsia="宋体"/>
          <w:sz w:val="24"/>
          <w:szCs w:val="24"/>
          <w:highlight w:val="none"/>
          <w:lang w:eastAsia="zh-CN"/>
        </w:rPr>
        <w:t>版）》中生产品种包含“警用毛针织类”的生产企业，且不属于公装财[2026]77号、公装财[2026]117号文件中涉及的相关企业，且所投产品满足</w:t>
      </w:r>
      <w:r>
        <w:rPr>
          <w:rFonts w:hint="eastAsia" w:ascii="宋体" w:hAnsi="宋体" w:eastAsia="宋体" w:cstheme="majorEastAsia"/>
          <w:sz w:val="24"/>
          <w:szCs w:val="24"/>
          <w:highlight w:val="none"/>
          <w:lang w:eastAsia="zh-CN"/>
        </w:rPr>
        <w:t>《2025式人民警察制式服装系列品种技术标准（草案）》（含后续修订版本）的相关要求。</w:t>
      </w:r>
      <w:r>
        <w:rPr>
          <w:rFonts w:hint="eastAsia" w:ascii="宋体" w:hAnsi="宋体" w:eastAsia="宋体"/>
          <w:bCs/>
          <w:sz w:val="24"/>
          <w:szCs w:val="24"/>
          <w:highlight w:val="none"/>
          <w:lang w:eastAsia="zh-CN"/>
        </w:rPr>
        <w:t>注：投标人须针对上述内容提供加盖投标人公章的承诺函，否则作无效投标处理。</w:t>
      </w:r>
    </w:p>
    <w:p w14:paraId="2B702F5F">
      <w:pPr>
        <w:rPr>
          <w:rFonts w:hint="eastAsia"/>
          <w:highlight w:val="none"/>
          <w:lang w:eastAsia="zh-CN"/>
        </w:rPr>
      </w:pPr>
    </w:p>
    <w:p w14:paraId="0133E91D">
      <w:pPr>
        <w:rPr>
          <w:rFonts w:hint="eastAsia"/>
          <w:highlight w:val="none"/>
          <w:lang w:eastAsia="zh-CN"/>
        </w:rPr>
      </w:pPr>
    </w:p>
    <w:p w14:paraId="4AEC6535">
      <w:pPr>
        <w:spacing w:line="360" w:lineRule="auto"/>
        <w:contextualSpacing/>
        <w:outlineLvl w:val="2"/>
        <w:rPr>
          <w:rFonts w:hint="eastAsia" w:ascii="宋体" w:hAnsi="宋体" w:eastAsia="宋体" w:cs="宋体"/>
          <w:i/>
          <w:iCs/>
          <w:sz w:val="24"/>
          <w:szCs w:val="24"/>
          <w:highlight w:val="none"/>
          <w:lang w:eastAsia="zh-CN"/>
        </w:rPr>
      </w:pPr>
      <w:r>
        <w:rPr>
          <w:rFonts w:hint="eastAsia" w:ascii="宋体" w:hAnsi="宋体" w:eastAsia="宋体" w:cs="宋体"/>
          <w:sz w:val="24"/>
          <w:szCs w:val="24"/>
          <w:highlight w:val="none"/>
          <w:lang w:eastAsia="zh-CN"/>
        </w:rPr>
        <w:t>3. 验收标准</w:t>
      </w:r>
    </w:p>
    <w:p w14:paraId="2108E469">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bCs/>
          <w:sz w:val="24"/>
          <w:szCs w:val="24"/>
          <w:highlight w:val="none"/>
          <w:lang w:eastAsia="zh-CN"/>
        </w:rPr>
        <w:t>交收检验依据“2025式警服系列品种</w:t>
      </w:r>
      <w:r>
        <w:rPr>
          <w:rFonts w:hint="eastAsia" w:ascii="宋体" w:hAnsi="宋体" w:eastAsia="宋体" w:cs="宋体"/>
          <w:sz w:val="24"/>
          <w:szCs w:val="24"/>
          <w:highlight w:val="none"/>
          <w:lang w:eastAsia="zh-CN"/>
        </w:rPr>
        <w:t>技术标准（草案）含后续修订版本”和《警服产品交收检验工作规范》（草案）含后续修订版本执行。</w:t>
      </w:r>
      <w:bookmarkStart w:id="0" w:name="_Hlk129350074"/>
    </w:p>
    <w:bookmarkEnd w:id="0"/>
    <w:p w14:paraId="031CD8B3">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（2）产品（含包装）的检测、验收方式和检测机构由采购人确定。采购人有权在产品生产中期进行抽检、并在中标</w:t>
      </w:r>
      <w:r>
        <w:rPr>
          <w:rFonts w:hint="eastAsia" w:ascii="宋体" w:hAnsi="宋体" w:cs="宋体"/>
          <w:sz w:val="24"/>
          <w:szCs w:val="24"/>
          <w:highlight w:val="none"/>
          <w:lang w:eastAsia="zh-CN"/>
        </w:rPr>
        <w:t>人</w:t>
      </w:r>
      <w:r>
        <w:rPr>
          <w:rFonts w:hint="eastAsia" w:ascii="宋体" w:hAnsi="宋体" w:eastAsia="宋体" w:cs="宋体"/>
          <w:sz w:val="24"/>
          <w:szCs w:val="24"/>
          <w:highlight w:val="none"/>
          <w:lang w:eastAsia="zh-CN"/>
        </w:rPr>
        <w:t>交货时进行交收检验等，全部检测费用、相应责任及后果由中标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承担。</w:t>
      </w:r>
    </w:p>
    <w:p w14:paraId="0134B939">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lang w:eastAsia="zh-CN"/>
        </w:rPr>
        <w:t>（3）采购人在验收中如发现警用物资产品的质量不符合招标文件要求及合同条款约定的，在检测结果确定后告知中标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，中标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eastAsia="zh-CN"/>
        </w:rPr>
        <w:t>须在3</w:t>
      </w:r>
      <w:r>
        <w:rPr>
          <w:rFonts w:hint="eastAsia" w:ascii="宋体" w:hAnsi="宋体" w:eastAsia="宋体" w:cs="宋体"/>
          <w:sz w:val="24"/>
          <w:szCs w:val="24"/>
          <w:lang w:eastAsia="zh-CN"/>
        </w:rPr>
        <w:t>个日历日内提出书面解决方案。</w:t>
      </w:r>
    </w:p>
    <w:p w14:paraId="3C898561">
      <w:r>
        <w:rPr>
          <w:rFonts w:hint="eastAsia" w:ascii="宋体" w:hAnsi="宋体" w:eastAsia="宋体" w:cs="宋体"/>
          <w:sz w:val="24"/>
          <w:szCs w:val="24"/>
          <w:lang w:eastAsia="zh-CN"/>
        </w:rPr>
        <w:t>（4）检测结果不合格的，视为货物质量不合格，整批货物不得发运。中标</w:t>
      </w:r>
      <w:r>
        <w:rPr>
          <w:rFonts w:hint="eastAsia" w:ascii="宋体" w:hAnsi="宋体" w:cs="宋体"/>
          <w:sz w:val="24"/>
          <w:szCs w:val="24"/>
          <w:lang w:val="en-US" w:eastAsia="zh-CN"/>
        </w:rPr>
        <w:t>人</w:t>
      </w:r>
      <w:r>
        <w:rPr>
          <w:rFonts w:hint="eastAsia" w:ascii="宋体" w:hAnsi="宋体" w:eastAsia="宋体" w:cs="宋体"/>
          <w:sz w:val="24"/>
          <w:szCs w:val="24"/>
          <w:lang w:eastAsia="zh-CN"/>
        </w:rPr>
        <w:t>在本合同约定的交货周期内重新备货供采购人再次验收。</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2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First Indent"/>
    <w:basedOn w:val="4"/>
    <w:unhideWhenUsed/>
    <w:qFormat/>
    <w:uiPriority w:val="99"/>
    <w:pPr>
      <w:ind w:firstLine="420" w:firstLineChars="100"/>
    </w:p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paragraph" w:customStyle="1" w:styleId="9">
    <w:name w:val="列表段落1"/>
    <w:basedOn w:val="1"/>
    <w:qFormat/>
    <w:uiPriority w:val="99"/>
    <w:pPr>
      <w:spacing w:after="160" w:line="278" w:lineRule="auto"/>
      <w:ind w:firstLine="420" w:firstLineChars="200"/>
      <w:jc w:val="both"/>
    </w:pPr>
    <w:rPr>
      <w:rFonts w:ascii="Calibri" w:hAnsi="Calibri" w:eastAsia="宋体" w:cs="Times New Roman"/>
      <w:kern w:val="2"/>
      <w:sz w:val="21"/>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2026-05-22T06:35:57Z</dcterms:created>
  <dc:creator>zhhx</dc:creator>
  <cp:lastModifiedBy>高</cp:lastModifiedBy>
  <dcterms:modified xsi:type="dcterms:W3CDTF">2026-05-22T06:41:17Z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18DDAE59B9C4470C812E587AE56CF518_12</vt:lpwstr>
  </property>
</Properties>
</file>